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01TabelBlanco"/>
        <w:tblpPr w:vertAnchor="page" w:horzAnchor="page" w:tblpX="681" w:tblpY="568"/>
        <w:tblW w:w="10546" w:type="dxa"/>
        <w:tblLayout w:type="fixed"/>
        <w:tblLook w:val="04A0" w:firstRow="1" w:lastRow="0" w:firstColumn="1" w:lastColumn="0" w:noHBand="0" w:noVBand="1"/>
      </w:tblPr>
      <w:tblGrid>
        <w:gridCol w:w="10546"/>
      </w:tblGrid>
      <w:tr w:rsidR="00202FF8" w:rsidRPr="007C5E64" w14:paraId="771B5830" w14:textId="77777777" w:rsidTr="00DC4454">
        <w:trPr>
          <w:cnfStyle w:val="100000000000" w:firstRow="1" w:lastRow="0" w:firstColumn="0" w:lastColumn="0" w:oddVBand="0" w:evenVBand="0" w:oddHBand="0" w:evenHBand="0" w:firstRowFirstColumn="0" w:firstRowLastColumn="0" w:lastRowFirstColumn="0" w:lastRowLastColumn="0"/>
          <w:trHeight w:val="5483"/>
        </w:trPr>
        <w:tc>
          <w:tcPr>
            <w:cnfStyle w:val="001000000100" w:firstRow="0" w:lastRow="0" w:firstColumn="1" w:lastColumn="0" w:oddVBand="0" w:evenVBand="0" w:oddHBand="0" w:evenHBand="0" w:firstRowFirstColumn="1" w:firstRowLastColumn="0" w:lastRowFirstColumn="0" w:lastRowLastColumn="0"/>
            <w:tcW w:w="8136" w:type="dxa"/>
          </w:tcPr>
          <w:p w14:paraId="549716B4" w14:textId="42E0A78F" w:rsidR="00202FF8" w:rsidRPr="007C5E64" w:rsidRDefault="00F7620C" w:rsidP="00F7620C">
            <w:pPr>
              <w:pStyle w:val="11Titel"/>
              <w:rPr>
                <w:spacing w:val="-20"/>
                <w:sz w:val="68"/>
                <w:szCs w:val="68"/>
              </w:rPr>
            </w:pPr>
            <w:r w:rsidRPr="007C5E64">
              <w:rPr>
                <w:spacing w:val="-20"/>
                <w:sz w:val="68"/>
                <w:szCs w:val="68"/>
              </w:rPr>
              <w:t>J</w:t>
            </w:r>
            <w:r w:rsidR="001565D9">
              <w:rPr>
                <w:spacing w:val="-20"/>
                <w:sz w:val="68"/>
                <w:szCs w:val="68"/>
              </w:rPr>
              <w:t xml:space="preserve">aarverslagenanalyse </w:t>
            </w:r>
            <w:r w:rsidR="009B207F">
              <w:rPr>
                <w:spacing w:val="-20"/>
                <w:sz w:val="68"/>
                <w:szCs w:val="68"/>
              </w:rPr>
              <w:t>GGZ</w:t>
            </w:r>
            <w:r w:rsidR="001565D9">
              <w:rPr>
                <w:spacing w:val="-20"/>
                <w:sz w:val="68"/>
                <w:szCs w:val="68"/>
              </w:rPr>
              <w:t xml:space="preserve"> </w:t>
            </w:r>
            <w:r w:rsidRPr="007C5E64">
              <w:rPr>
                <w:spacing w:val="-20"/>
                <w:sz w:val="68"/>
                <w:szCs w:val="68"/>
              </w:rPr>
              <w:t>20</w:t>
            </w:r>
            <w:r w:rsidR="008C4302">
              <w:rPr>
                <w:spacing w:val="-20"/>
                <w:sz w:val="68"/>
                <w:szCs w:val="68"/>
              </w:rPr>
              <w:t>2</w:t>
            </w:r>
            <w:r w:rsidR="001970DE">
              <w:rPr>
                <w:spacing w:val="-20"/>
                <w:sz w:val="68"/>
                <w:szCs w:val="68"/>
              </w:rPr>
              <w:t>2</w:t>
            </w:r>
            <w:r w:rsidRPr="007C5E64">
              <w:rPr>
                <w:spacing w:val="-20"/>
                <w:sz w:val="68"/>
                <w:szCs w:val="68"/>
              </w:rPr>
              <w:t xml:space="preserve"> </w:t>
            </w:r>
            <w:r w:rsidRPr="007C5E64">
              <w:rPr>
                <w:spacing w:val="-20"/>
                <w:sz w:val="68"/>
                <w:szCs w:val="68"/>
              </w:rPr>
              <w:br/>
            </w:r>
          </w:p>
          <w:p w14:paraId="434EDFFE" w14:textId="7B113DAA" w:rsidR="00202FF8" w:rsidRPr="007C5E64" w:rsidRDefault="001565D9" w:rsidP="00210FD1">
            <w:pPr>
              <w:pStyle w:val="12Subtitel"/>
            </w:pPr>
            <w:r>
              <w:t xml:space="preserve">De </w:t>
            </w:r>
            <w:r w:rsidR="00F7620C" w:rsidRPr="007C5E64">
              <w:t xml:space="preserve">financiële positie, uitgaven, capaciteit en productie </w:t>
            </w:r>
          </w:p>
          <w:p w14:paraId="7D63DFA8" w14:textId="77777777" w:rsidR="00F7620C" w:rsidRPr="007C5E64" w:rsidRDefault="00F7620C" w:rsidP="00F7620C">
            <w:pPr>
              <w:pStyle w:val="06Bodytekst"/>
            </w:pPr>
          </w:p>
          <w:p w14:paraId="7B8821B2" w14:textId="77777777" w:rsidR="00F7620C" w:rsidRPr="007C5E64" w:rsidRDefault="00F7620C" w:rsidP="00F7620C">
            <w:pPr>
              <w:pStyle w:val="06Bodytekst"/>
              <w:rPr>
                <w:color w:val="auto"/>
                <w:sz w:val="24"/>
                <w:szCs w:val="24"/>
              </w:rPr>
            </w:pPr>
          </w:p>
          <w:p w14:paraId="0000DD60" w14:textId="7923AF45" w:rsidR="001565D9" w:rsidRDefault="001565D9" w:rsidP="00F7620C">
            <w:pPr>
              <w:pStyle w:val="06Bodytekst"/>
              <w:rPr>
                <w:color w:val="auto"/>
                <w:sz w:val="24"/>
                <w:szCs w:val="24"/>
              </w:rPr>
            </w:pPr>
          </w:p>
          <w:p w14:paraId="6907E6F8" w14:textId="77777777" w:rsidR="001565D9" w:rsidRPr="007C5E64" w:rsidRDefault="001565D9" w:rsidP="00F7620C">
            <w:pPr>
              <w:pStyle w:val="06Bodytekst"/>
              <w:rPr>
                <w:color w:val="auto"/>
                <w:sz w:val="24"/>
                <w:szCs w:val="24"/>
              </w:rPr>
            </w:pPr>
          </w:p>
          <w:p w14:paraId="785A5E9D" w14:textId="77777777" w:rsidR="0077288F" w:rsidRDefault="0077288F" w:rsidP="001565D9">
            <w:pPr>
              <w:pStyle w:val="06Bodytekst"/>
              <w:rPr>
                <w:color w:val="auto"/>
                <w:sz w:val="24"/>
                <w:szCs w:val="24"/>
              </w:rPr>
            </w:pPr>
          </w:p>
          <w:p w14:paraId="25449AA6" w14:textId="3F6DBDD2" w:rsidR="001B322A" w:rsidRPr="00333655" w:rsidRDefault="0074538C" w:rsidP="001B322A">
            <w:pPr>
              <w:pStyle w:val="06Bodytekst"/>
              <w:rPr>
                <w:color w:val="auto"/>
                <w:sz w:val="24"/>
                <w:szCs w:val="24"/>
              </w:rPr>
            </w:pPr>
            <w:r>
              <w:rPr>
                <w:color w:val="auto"/>
                <w:sz w:val="24"/>
                <w:szCs w:val="24"/>
              </w:rPr>
              <w:t>Oktober 2023</w:t>
            </w:r>
            <w:r w:rsidR="00F7620C" w:rsidRPr="00333655">
              <w:rPr>
                <w:color w:val="auto"/>
                <w:sz w:val="24"/>
                <w:szCs w:val="24"/>
              </w:rPr>
              <w:br/>
            </w:r>
          </w:p>
          <w:p w14:paraId="15DF48E5" w14:textId="47DF8CA0" w:rsidR="001B322A" w:rsidRPr="00333655" w:rsidRDefault="00F7620C" w:rsidP="001B322A">
            <w:pPr>
              <w:pStyle w:val="06Bodytekst"/>
              <w:rPr>
                <w:color w:val="auto"/>
                <w:sz w:val="24"/>
                <w:szCs w:val="24"/>
              </w:rPr>
            </w:pPr>
            <w:r w:rsidRPr="00333655">
              <w:rPr>
                <w:color w:val="auto"/>
                <w:sz w:val="24"/>
                <w:szCs w:val="24"/>
              </w:rPr>
              <w:t>Intrakoop</w:t>
            </w:r>
            <w:r w:rsidR="007A2497" w:rsidRPr="00333655">
              <w:rPr>
                <w:color w:val="auto"/>
                <w:sz w:val="24"/>
                <w:szCs w:val="24"/>
              </w:rPr>
              <w:t>, inkoopcoöperatie van de zorg</w:t>
            </w:r>
            <w:r w:rsidR="001565D9" w:rsidRPr="00333655">
              <w:rPr>
                <w:color w:val="auto"/>
                <w:sz w:val="24"/>
                <w:szCs w:val="24"/>
              </w:rPr>
              <w:t xml:space="preserve"> </w:t>
            </w:r>
            <w:r w:rsidR="001B322A" w:rsidRPr="00333655">
              <w:rPr>
                <w:color w:val="auto"/>
                <w:sz w:val="24"/>
                <w:szCs w:val="24"/>
              </w:rPr>
              <w:br/>
            </w:r>
            <w:r w:rsidRPr="00333655">
              <w:rPr>
                <w:color w:val="auto"/>
                <w:sz w:val="24"/>
                <w:szCs w:val="24"/>
              </w:rPr>
              <w:t xml:space="preserve">Verstegen, accountants en adviseurs </w:t>
            </w:r>
          </w:p>
          <w:p w14:paraId="5B06D1C2" w14:textId="5F99BB95" w:rsidR="001B322A" w:rsidRPr="0057640A" w:rsidRDefault="0057640A" w:rsidP="001B322A">
            <w:pPr>
              <w:pStyle w:val="06Bodytekst"/>
              <w:rPr>
                <w:color w:val="auto"/>
                <w:sz w:val="24"/>
                <w:szCs w:val="24"/>
                <w:lang w:val="en-US"/>
              </w:rPr>
            </w:pPr>
            <w:r>
              <w:rPr>
                <w:color w:val="auto"/>
                <w:sz w:val="24"/>
                <w:szCs w:val="24"/>
                <w:lang w:val="en-US"/>
              </w:rPr>
              <w:t xml:space="preserve">i.s.m. </w:t>
            </w:r>
            <w:r w:rsidR="00F7620C" w:rsidRPr="0057640A">
              <w:rPr>
                <w:color w:val="auto"/>
                <w:sz w:val="24"/>
                <w:szCs w:val="24"/>
                <w:lang w:val="en-US"/>
              </w:rPr>
              <w:t>Marlyse-Research</w:t>
            </w:r>
            <w:r w:rsidR="00F7620C" w:rsidRPr="0057640A">
              <w:rPr>
                <w:color w:val="auto"/>
                <w:sz w:val="24"/>
                <w:szCs w:val="24"/>
                <w:lang w:val="en-US"/>
              </w:rPr>
              <w:br/>
            </w:r>
          </w:p>
          <w:p w14:paraId="256D8F33" w14:textId="7D2C8FB1" w:rsidR="00C93B36" w:rsidRPr="007C5E64" w:rsidRDefault="00F7620C" w:rsidP="001B322A">
            <w:pPr>
              <w:pStyle w:val="06Bodytekst"/>
            </w:pPr>
            <w:r w:rsidRPr="00333655">
              <w:rPr>
                <w:color w:val="auto"/>
                <w:sz w:val="24"/>
                <w:szCs w:val="24"/>
              </w:rPr>
              <w:t xml:space="preserve">Auteurs: </w:t>
            </w:r>
            <w:r w:rsidR="001970DE">
              <w:rPr>
                <w:color w:val="auto"/>
                <w:sz w:val="24"/>
                <w:szCs w:val="24"/>
              </w:rPr>
              <w:t>M</w:t>
            </w:r>
            <w:r w:rsidR="0074538C">
              <w:rPr>
                <w:color w:val="auto"/>
                <w:sz w:val="24"/>
                <w:szCs w:val="24"/>
              </w:rPr>
              <w:t>artijn de Laat</w:t>
            </w:r>
            <w:r w:rsidRPr="00333655">
              <w:rPr>
                <w:color w:val="auto"/>
                <w:sz w:val="24"/>
                <w:szCs w:val="24"/>
              </w:rPr>
              <w:t>, Mike Lankhorst</w:t>
            </w:r>
          </w:p>
        </w:tc>
      </w:tr>
      <w:tr w:rsidR="00D86259" w:rsidRPr="007C5E64" w14:paraId="4BC9FA91" w14:textId="77777777" w:rsidTr="00DC4454">
        <w:trPr>
          <w:cnfStyle w:val="000000100000" w:firstRow="0" w:lastRow="0" w:firstColumn="0" w:lastColumn="0" w:oddVBand="0" w:evenVBand="0" w:oddHBand="1" w:evenHBand="0" w:firstRowFirstColumn="0" w:firstRowLastColumn="0" w:lastRowFirstColumn="0" w:lastRowLastColumn="0"/>
          <w:trHeight w:val="5483"/>
        </w:trPr>
        <w:tc>
          <w:tcPr>
            <w:cnfStyle w:val="001000000000" w:firstRow="0" w:lastRow="0" w:firstColumn="1" w:lastColumn="0" w:oddVBand="0" w:evenVBand="0" w:oddHBand="0" w:evenHBand="0" w:firstRowFirstColumn="0" w:firstRowLastColumn="0" w:lastRowFirstColumn="0" w:lastRowLastColumn="0"/>
            <w:tcW w:w="8136" w:type="dxa"/>
          </w:tcPr>
          <w:p w14:paraId="6F132045" w14:textId="6E4437B8" w:rsidR="00D86259" w:rsidRPr="007C5E64" w:rsidRDefault="004616EB" w:rsidP="00F7620C">
            <w:pPr>
              <w:pStyle w:val="11Titel"/>
              <w:rPr>
                <w:spacing w:val="-20"/>
                <w:sz w:val="68"/>
                <w:szCs w:val="68"/>
              </w:rPr>
            </w:pPr>
            <w:r w:rsidRPr="007C5E64">
              <w:rPr>
                <w:noProof/>
                <w:sz w:val="24"/>
                <w:szCs w:val="24"/>
                <w:lang w:eastAsia="nl-NL"/>
              </w:rPr>
              <w:drawing>
                <wp:anchor distT="0" distB="0" distL="114300" distR="114300" simplePos="0" relativeHeight="251658240" behindDoc="1" locked="0" layoutInCell="1" allowOverlap="1" wp14:anchorId="419B36BC" wp14:editId="3EEE7945">
                  <wp:simplePos x="0" y="0"/>
                  <wp:positionH relativeFrom="page">
                    <wp:posOffset>77083</wp:posOffset>
                  </wp:positionH>
                  <wp:positionV relativeFrom="page">
                    <wp:posOffset>748133</wp:posOffset>
                  </wp:positionV>
                  <wp:extent cx="6527926" cy="4351950"/>
                  <wp:effectExtent l="0" t="0" r="635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otoblok_186x15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27926" cy="4351950"/>
                          </a:xfrm>
                          <a:prstGeom prst="rect">
                            <a:avLst/>
                          </a:prstGeom>
                        </pic:spPr>
                      </pic:pic>
                    </a:graphicData>
                  </a:graphic>
                  <wp14:sizeRelH relativeFrom="margin">
                    <wp14:pctWidth>0</wp14:pctWidth>
                  </wp14:sizeRelH>
                  <wp14:sizeRelV relativeFrom="margin">
                    <wp14:pctHeight>0</wp14:pctHeight>
                  </wp14:sizeRelV>
                </wp:anchor>
              </w:drawing>
            </w:r>
          </w:p>
        </w:tc>
      </w:tr>
    </w:tbl>
    <w:p w14:paraId="1E9E5E20" w14:textId="77777777" w:rsidR="00B629A5" w:rsidRPr="007C5E64" w:rsidRDefault="00B629A5" w:rsidP="00CD3BB3">
      <w:pPr>
        <w:pStyle w:val="06Bodytekst"/>
      </w:pPr>
    </w:p>
    <w:p w14:paraId="3C8DB61C" w14:textId="77777777" w:rsidR="00B629A5" w:rsidRPr="007C5E64" w:rsidRDefault="00B629A5" w:rsidP="00CD3BB3">
      <w:pPr>
        <w:pStyle w:val="06Bodytekst"/>
      </w:pPr>
    </w:p>
    <w:p w14:paraId="23902AC3" w14:textId="77777777" w:rsidR="00B629A5" w:rsidRPr="007C5E64" w:rsidRDefault="00B629A5" w:rsidP="00CD3BB3">
      <w:pPr>
        <w:pStyle w:val="06Bodytekst"/>
      </w:pPr>
    </w:p>
    <w:p w14:paraId="6CC54577" w14:textId="77777777" w:rsidR="00B629A5" w:rsidRPr="007C5E64" w:rsidRDefault="00B629A5" w:rsidP="00CD3BB3">
      <w:pPr>
        <w:pStyle w:val="06Bodytekst"/>
      </w:pPr>
    </w:p>
    <w:p w14:paraId="6706E322" w14:textId="77777777" w:rsidR="00105861" w:rsidRPr="007C5E64" w:rsidRDefault="00105861">
      <w:pPr>
        <w:spacing w:after="160" w:line="259" w:lineRule="auto"/>
      </w:pPr>
      <w:r w:rsidRPr="007C5E64">
        <w:br w:type="page"/>
      </w:r>
    </w:p>
    <w:p w14:paraId="0E4487C4" w14:textId="14608E6D" w:rsidR="00105861" w:rsidRPr="009A0B80" w:rsidRDefault="00105861" w:rsidP="00DC3A9A">
      <w:pPr>
        <w:pStyle w:val="02Paragraafkop"/>
        <w:numPr>
          <w:ilvl w:val="0"/>
          <w:numId w:val="0"/>
        </w:numPr>
        <w:ind w:left="567" w:hanging="567"/>
      </w:pPr>
      <w:bookmarkStart w:id="0" w:name="_Toc148100243"/>
      <w:r w:rsidRPr="009A0B80">
        <w:lastRenderedPageBreak/>
        <w:t>Voorwoord</w:t>
      </w:r>
      <w:bookmarkEnd w:id="0"/>
    </w:p>
    <w:p w14:paraId="3632E9EC" w14:textId="77777777" w:rsidR="003E289A" w:rsidRPr="004D27E6" w:rsidRDefault="003E289A" w:rsidP="003E289A">
      <w:pPr>
        <w:pStyle w:val="06Bodytekst"/>
        <w:rPr>
          <w:szCs w:val="18"/>
        </w:rPr>
      </w:pPr>
      <w:r w:rsidRPr="004D27E6">
        <w:rPr>
          <w:szCs w:val="18"/>
        </w:rPr>
        <w:t xml:space="preserve">In de analyse over het jaar 2021 schreven we dat de GGZ de Covid-19-crisis redelijk heeft doorstaan. Daarbij gaven we aan dat de GGZ eigenlijk haar trendmatige ontwikkeling heeft weten vast te houden. Wat nu blijkt </w:t>
      </w:r>
      <w:r>
        <w:rPr>
          <w:szCs w:val="18"/>
        </w:rPr>
        <w:t xml:space="preserve">is </w:t>
      </w:r>
      <w:r w:rsidRPr="004D27E6">
        <w:rPr>
          <w:szCs w:val="18"/>
        </w:rPr>
        <w:t xml:space="preserve">dat de impact van Covid-19 in de </w:t>
      </w:r>
      <w:r>
        <w:rPr>
          <w:szCs w:val="18"/>
        </w:rPr>
        <w:t>‘</w:t>
      </w:r>
      <w:r w:rsidRPr="004D27E6">
        <w:rPr>
          <w:szCs w:val="18"/>
        </w:rPr>
        <w:t>nabrander</w:t>
      </w:r>
      <w:r>
        <w:rPr>
          <w:szCs w:val="18"/>
        </w:rPr>
        <w:t>’-fase</w:t>
      </w:r>
      <w:r w:rsidRPr="004D27E6">
        <w:rPr>
          <w:szCs w:val="18"/>
        </w:rPr>
        <w:t xml:space="preserve"> van deze crisis zit.</w:t>
      </w:r>
    </w:p>
    <w:p w14:paraId="5A44C1D3" w14:textId="77777777" w:rsidR="003E289A" w:rsidRPr="004D27E6" w:rsidRDefault="003E289A" w:rsidP="003E289A">
      <w:pPr>
        <w:pStyle w:val="06Bodytekst"/>
        <w:rPr>
          <w:szCs w:val="18"/>
        </w:rPr>
      </w:pPr>
    </w:p>
    <w:p w14:paraId="1ACC933F" w14:textId="4DDF0245" w:rsidR="003E289A" w:rsidRPr="004D27E6" w:rsidRDefault="003E289A" w:rsidP="003E289A">
      <w:pPr>
        <w:pStyle w:val="06Bodytekst"/>
        <w:rPr>
          <w:szCs w:val="18"/>
        </w:rPr>
      </w:pPr>
      <w:r w:rsidRPr="004D27E6">
        <w:rPr>
          <w:szCs w:val="18"/>
        </w:rPr>
        <w:t xml:space="preserve">De financiële kengetallen laten zien dat de marge van ruim 2,5% gemiddeld afnam naar </w:t>
      </w:r>
      <w:r w:rsidR="00D14C76">
        <w:rPr>
          <w:szCs w:val="18"/>
        </w:rPr>
        <w:t>0,8</w:t>
      </w:r>
      <w:r w:rsidRPr="004D27E6">
        <w:rPr>
          <w:szCs w:val="18"/>
        </w:rPr>
        <w:t xml:space="preserve">%. Nu kun je stellen dat dat voor organisaties in het publieke domein nog steeds </w:t>
      </w:r>
      <w:r w:rsidR="00D14C76">
        <w:rPr>
          <w:szCs w:val="18"/>
        </w:rPr>
        <w:t>genoeg</w:t>
      </w:r>
      <w:r w:rsidRPr="004D27E6">
        <w:rPr>
          <w:szCs w:val="18"/>
        </w:rPr>
        <w:t xml:space="preserve"> is. Er is echter wel alertheid gewenst. </w:t>
      </w:r>
    </w:p>
    <w:p w14:paraId="35399853" w14:textId="77777777" w:rsidR="003E289A" w:rsidRPr="004D27E6" w:rsidRDefault="003E289A" w:rsidP="003E289A">
      <w:pPr>
        <w:pStyle w:val="06Bodytekst"/>
        <w:rPr>
          <w:szCs w:val="18"/>
        </w:rPr>
      </w:pPr>
    </w:p>
    <w:p w14:paraId="7D958A15" w14:textId="7CBD2837" w:rsidR="003E289A" w:rsidRPr="004D27E6" w:rsidRDefault="003E289A" w:rsidP="003E289A">
      <w:pPr>
        <w:pStyle w:val="06Bodytekst"/>
        <w:rPr>
          <w:szCs w:val="18"/>
        </w:rPr>
      </w:pPr>
      <w:r w:rsidRPr="004D27E6">
        <w:rPr>
          <w:szCs w:val="18"/>
        </w:rPr>
        <w:t xml:space="preserve">Een </w:t>
      </w:r>
      <w:r w:rsidR="004559B5">
        <w:rPr>
          <w:szCs w:val="18"/>
        </w:rPr>
        <w:t>kleine zestig</w:t>
      </w:r>
      <w:r w:rsidRPr="004D27E6">
        <w:rPr>
          <w:szCs w:val="18"/>
        </w:rPr>
        <w:t xml:space="preserve"> organisaties heeft een negatief resultaat. Veertig daarvan eindigden vorig jaar nog in het zwart. Onderliggende oorzaken zijn onder andere een toenemend ziekteverzuim en hoog verloop, beide uitmondend in exploderende kosten voor PNIL-inzet. De kosten hiervan stijgen met 20% naar </w:t>
      </w:r>
      <w:r w:rsidRPr="004D27E6">
        <w:rPr>
          <w:color w:val="auto"/>
          <w:szCs w:val="18"/>
        </w:rPr>
        <w:t xml:space="preserve">€ </w:t>
      </w:r>
      <w:r w:rsidR="00B96935">
        <w:rPr>
          <w:szCs w:val="18"/>
        </w:rPr>
        <w:t>549</w:t>
      </w:r>
      <w:r w:rsidRPr="004D27E6">
        <w:rPr>
          <w:szCs w:val="18"/>
        </w:rPr>
        <w:t xml:space="preserve"> mln. In die zin is het recente nieuws over de invoering van een ‘</w:t>
      </w:r>
      <w:r>
        <w:rPr>
          <w:szCs w:val="18"/>
        </w:rPr>
        <w:t>f</w:t>
      </w:r>
      <w:r w:rsidRPr="004D27E6">
        <w:rPr>
          <w:szCs w:val="18"/>
        </w:rPr>
        <w:t xml:space="preserve">iscaal kader ZZP-zorg’ ook voor de GGZ zeer relevant. </w:t>
      </w:r>
    </w:p>
    <w:p w14:paraId="6CDF30FA" w14:textId="77777777" w:rsidR="003E289A" w:rsidRPr="004D27E6" w:rsidRDefault="003E289A" w:rsidP="003E289A">
      <w:pPr>
        <w:pStyle w:val="06Bodytekst"/>
        <w:rPr>
          <w:szCs w:val="18"/>
        </w:rPr>
      </w:pPr>
    </w:p>
    <w:p w14:paraId="4966CFA5" w14:textId="535DEE5D" w:rsidR="003E289A" w:rsidRPr="004D27E6" w:rsidRDefault="003E289A" w:rsidP="003E289A">
      <w:pPr>
        <w:pStyle w:val="06Bodytekst"/>
        <w:rPr>
          <w:szCs w:val="18"/>
        </w:rPr>
      </w:pPr>
      <w:r w:rsidRPr="004D27E6">
        <w:rPr>
          <w:szCs w:val="18"/>
        </w:rPr>
        <w:t>Gemiddeld kunnen we nog wel steeds stellen dat de sector zich weet te consolideren</w:t>
      </w:r>
      <w:r>
        <w:rPr>
          <w:szCs w:val="18"/>
        </w:rPr>
        <w:t>, e</w:t>
      </w:r>
      <w:r w:rsidRPr="004D27E6">
        <w:rPr>
          <w:szCs w:val="18"/>
        </w:rPr>
        <w:t xml:space="preserve">chter met forse verschillen daarbinnen. De </w:t>
      </w:r>
      <w:r w:rsidR="00B96935">
        <w:rPr>
          <w:szCs w:val="18"/>
        </w:rPr>
        <w:t>k</w:t>
      </w:r>
      <w:r w:rsidRPr="004D27E6">
        <w:rPr>
          <w:szCs w:val="18"/>
        </w:rPr>
        <w:t>leine</w:t>
      </w:r>
      <w:r w:rsidR="00B96935">
        <w:rPr>
          <w:szCs w:val="18"/>
        </w:rPr>
        <w:t>re</w:t>
      </w:r>
      <w:r w:rsidRPr="004D27E6">
        <w:rPr>
          <w:szCs w:val="18"/>
        </w:rPr>
        <w:t xml:space="preserve"> organisaties doen het in financieel opzicht relatief goed. De</w:t>
      </w:r>
      <w:r w:rsidR="00B96935">
        <w:rPr>
          <w:szCs w:val="18"/>
        </w:rPr>
        <w:t xml:space="preserve"> grotere</w:t>
      </w:r>
      <w:r w:rsidRPr="004D27E6">
        <w:rPr>
          <w:szCs w:val="18"/>
        </w:rPr>
        <w:t xml:space="preserve"> organisaties doen het over het algemeen minder goed.</w:t>
      </w:r>
    </w:p>
    <w:p w14:paraId="0838CB48" w14:textId="77777777" w:rsidR="003E289A" w:rsidRPr="004D27E6" w:rsidRDefault="003E289A" w:rsidP="003E289A">
      <w:pPr>
        <w:pStyle w:val="06Bodytekst"/>
        <w:rPr>
          <w:szCs w:val="18"/>
        </w:rPr>
      </w:pPr>
    </w:p>
    <w:p w14:paraId="05DB3093" w14:textId="77777777" w:rsidR="003E289A" w:rsidRPr="004D27E6" w:rsidRDefault="003E289A" w:rsidP="003E289A">
      <w:pPr>
        <w:pStyle w:val="06Bodytekst"/>
        <w:rPr>
          <w:szCs w:val="18"/>
        </w:rPr>
      </w:pPr>
      <w:r w:rsidRPr="004D27E6">
        <w:rPr>
          <w:szCs w:val="18"/>
        </w:rPr>
        <w:t>Alle organisaties hadden het afgelopen jaar te maken met de invoering van het zogenaamde zorgprestatiemodel. Dit is een vervolg op het in 2012 ingevoerde DBC-model. Een belangrijk verschil met laatstgenoemde is dat de indirecte tijd er genormeerd in verrekend wordt. Dat betekent dat bij organisaties die de verhouding directe tijd besteed aan de patiënt versus de indirect benodigde tijd niet onder controle krijgen, de ratio kosten/opbrengsten ongunstiger wordt.</w:t>
      </w:r>
    </w:p>
    <w:p w14:paraId="44E31958" w14:textId="77777777" w:rsidR="003E289A" w:rsidRPr="004D27E6" w:rsidRDefault="003E289A" w:rsidP="003E289A">
      <w:pPr>
        <w:pStyle w:val="06Bodytekst"/>
        <w:rPr>
          <w:szCs w:val="18"/>
        </w:rPr>
      </w:pPr>
    </w:p>
    <w:p w14:paraId="575029AC" w14:textId="51BED218" w:rsidR="003E289A" w:rsidRPr="004D27E6" w:rsidRDefault="003E289A" w:rsidP="003E289A">
      <w:pPr>
        <w:pStyle w:val="06Bodytekst"/>
        <w:rPr>
          <w:szCs w:val="18"/>
        </w:rPr>
      </w:pPr>
      <w:r w:rsidRPr="004D27E6">
        <w:rPr>
          <w:szCs w:val="18"/>
        </w:rPr>
        <w:t>Door de normering van de indirecte tijd schuift er</w:t>
      </w:r>
      <w:r>
        <w:rPr>
          <w:szCs w:val="18"/>
        </w:rPr>
        <w:t xml:space="preserve">, zeker voor de korte termijn, </w:t>
      </w:r>
      <w:r w:rsidRPr="004D27E6">
        <w:rPr>
          <w:szCs w:val="18"/>
        </w:rPr>
        <w:t>een nieuw risico de zorgorganisaties in. Daarnaast hadden organisaties afgelopen jaar veel problemen om deze ingrijpende wijziging in het bekostigingsmodel in hun softwaresystemen verwerkt te krijgen. Ook verzekeraars hadden hier moeite mee. In dat opzicht was 2022 een wat bijzonder jaar. De geruststellende observatie hierbij is dat de liquiditeitsratio op het niveau van 2021 gebleven is, namelijk 1,6.</w:t>
      </w:r>
    </w:p>
    <w:p w14:paraId="395B8A1F" w14:textId="77777777" w:rsidR="003E289A" w:rsidRPr="004D27E6" w:rsidRDefault="003E289A" w:rsidP="003E289A">
      <w:pPr>
        <w:pStyle w:val="06Bodytekst"/>
        <w:rPr>
          <w:szCs w:val="18"/>
        </w:rPr>
      </w:pPr>
    </w:p>
    <w:p w14:paraId="07CE8A8D" w14:textId="77777777" w:rsidR="003E289A" w:rsidRPr="004D27E6" w:rsidRDefault="003E289A" w:rsidP="003E289A">
      <w:pPr>
        <w:pStyle w:val="06Bodytekst"/>
        <w:rPr>
          <w:szCs w:val="18"/>
        </w:rPr>
      </w:pPr>
      <w:r w:rsidRPr="004D27E6">
        <w:rPr>
          <w:szCs w:val="18"/>
        </w:rPr>
        <w:t xml:space="preserve">We signaleerden eerder voor de GGZ drie uitdagingen: het aantrekken en vast houden van personeel, het leveren van passende zorg op de juiste plaats en het juiste moment en tot slot het treffen van voorbereidingen voor de invoering van het zogenaamde zorgprestatiemodel. </w:t>
      </w:r>
      <w:r>
        <w:rPr>
          <w:szCs w:val="18"/>
        </w:rPr>
        <w:t>Bij dat</w:t>
      </w:r>
      <w:r w:rsidRPr="004D27E6">
        <w:rPr>
          <w:szCs w:val="18"/>
        </w:rPr>
        <w:t xml:space="preserve"> laatste </w:t>
      </w:r>
      <w:r>
        <w:rPr>
          <w:szCs w:val="18"/>
        </w:rPr>
        <w:t xml:space="preserve">gaat het nu nog vooral om het </w:t>
      </w:r>
      <w:r w:rsidRPr="004D27E6">
        <w:rPr>
          <w:szCs w:val="18"/>
        </w:rPr>
        <w:t>bewaken dat je aan de gestelde normen voldoet.</w:t>
      </w:r>
    </w:p>
    <w:p w14:paraId="19A5FB0C" w14:textId="77777777" w:rsidR="003E289A" w:rsidRPr="004D27E6" w:rsidRDefault="003E289A" w:rsidP="003E289A">
      <w:pPr>
        <w:pStyle w:val="06Bodytekst"/>
        <w:rPr>
          <w:szCs w:val="18"/>
        </w:rPr>
      </w:pPr>
    </w:p>
    <w:p w14:paraId="0F9CBB34" w14:textId="77777777" w:rsidR="003E289A" w:rsidRPr="004D27E6" w:rsidRDefault="003E289A" w:rsidP="003E289A">
      <w:pPr>
        <w:pStyle w:val="06Bodytekst"/>
        <w:rPr>
          <w:szCs w:val="18"/>
        </w:rPr>
      </w:pPr>
      <w:r w:rsidRPr="004D27E6">
        <w:rPr>
          <w:szCs w:val="18"/>
        </w:rPr>
        <w:t>Wat betreft de juiste zorg op de juiste plaats</w:t>
      </w:r>
      <w:r>
        <w:rPr>
          <w:szCs w:val="18"/>
        </w:rPr>
        <w:t>,</w:t>
      </w:r>
      <w:r w:rsidRPr="004D27E6">
        <w:rPr>
          <w:szCs w:val="18"/>
        </w:rPr>
        <w:t xml:space="preserve"> blijft er in sommige regio’s sprake van ongewenst lange wachttijden. Hier blijft actief optreden van verzekeraars op zijn plaats. Op de achtergrond speelt hier ook de intentie om de zorg intensiever te verbinden met activiteiten waarvoor gemeenten verantwoordelijk zijn, zoals dagbesteding in het kader van de WMO, schuldhulpverlening en voorkomen van dakloosheid. Het ontbreken van bestaanszekerheid bij een behoorlijk deel van de bevolking treft juist de mentale gesteldheid van de doelgroep met een verhoogd risico hierop.</w:t>
      </w:r>
    </w:p>
    <w:p w14:paraId="0AC66414" w14:textId="77777777" w:rsidR="003E289A" w:rsidRPr="004D27E6" w:rsidRDefault="003E289A" w:rsidP="003E289A">
      <w:pPr>
        <w:pStyle w:val="06Bodytekst"/>
        <w:rPr>
          <w:szCs w:val="18"/>
        </w:rPr>
      </w:pPr>
    </w:p>
    <w:p w14:paraId="77FA10DB" w14:textId="77777777" w:rsidR="003E289A" w:rsidRPr="004D27E6" w:rsidRDefault="003E289A" w:rsidP="003E289A">
      <w:pPr>
        <w:pStyle w:val="06Bodytekst"/>
        <w:rPr>
          <w:szCs w:val="18"/>
        </w:rPr>
      </w:pPr>
      <w:r w:rsidRPr="004D27E6">
        <w:rPr>
          <w:szCs w:val="18"/>
        </w:rPr>
        <w:t xml:space="preserve">In die zin kan de derde uitdaging: de implementatie van het zorgprestatiemodel vervangen worden door intensivering van de samenwerking met de hierboven genoemde aspecten, die over het algemeen onder  welzijn en volkshuisvesting </w:t>
      </w:r>
      <w:r>
        <w:rPr>
          <w:szCs w:val="18"/>
        </w:rPr>
        <w:t>vallen</w:t>
      </w:r>
      <w:r w:rsidRPr="004D27E6">
        <w:rPr>
          <w:szCs w:val="18"/>
        </w:rPr>
        <w:t>. Het sluit aan bij een werkwijze die geduid wordt als netwerkpsychiatrie en waarbij steeds opnieuw gekeken wordt welke bronnen er in de sociale context ingezet moeten worden om de zorgvrager met maatwerk te begeleiden ter ondersteuning van de route naar herstel. Het voorgaande samenvattend: naast personeel en bedrijfsvoering kan de sector zich vooral weer richten op de professionele ontwikkelingen.</w:t>
      </w:r>
    </w:p>
    <w:p w14:paraId="4F65873C" w14:textId="77777777" w:rsidR="003E289A" w:rsidRPr="004D27E6" w:rsidRDefault="003E289A" w:rsidP="003E289A">
      <w:pPr>
        <w:pStyle w:val="06Bodytekst"/>
        <w:rPr>
          <w:szCs w:val="18"/>
        </w:rPr>
      </w:pPr>
    </w:p>
    <w:p w14:paraId="0501F55F" w14:textId="77777777" w:rsidR="003E289A" w:rsidRPr="004D27E6" w:rsidRDefault="003E289A" w:rsidP="003E289A">
      <w:pPr>
        <w:pStyle w:val="06Bodytekst"/>
        <w:rPr>
          <w:szCs w:val="18"/>
        </w:rPr>
      </w:pPr>
      <w:r w:rsidRPr="004D27E6">
        <w:rPr>
          <w:szCs w:val="18"/>
        </w:rPr>
        <w:t>Prof. dr. Richard Janssen</w:t>
      </w:r>
    </w:p>
    <w:sdt>
      <w:sdtPr>
        <w:rPr>
          <w:bCs w:val="0"/>
          <w:color w:val="auto"/>
          <w:sz w:val="22"/>
          <w:szCs w:val="22"/>
        </w:rPr>
        <w:id w:val="-249811365"/>
        <w:docPartObj>
          <w:docPartGallery w:val="Table of Contents"/>
          <w:docPartUnique/>
        </w:docPartObj>
      </w:sdtPr>
      <w:sdtEndPr>
        <w:rPr>
          <w:b/>
        </w:rPr>
      </w:sdtEndPr>
      <w:sdtContent>
        <w:p w14:paraId="3BFC14BD" w14:textId="77777777" w:rsidR="00146F72" w:rsidRPr="007C5E64" w:rsidRDefault="00146F72" w:rsidP="00D97C4A">
          <w:pPr>
            <w:pStyle w:val="Kopvaninhoudsopgave"/>
            <w:spacing w:after="600"/>
            <w:rPr>
              <w:color w:val="auto"/>
              <w:sz w:val="22"/>
              <w:szCs w:val="22"/>
            </w:rPr>
          </w:pPr>
          <w:r w:rsidRPr="007C5E64">
            <w:t>Inhoudsopgave</w:t>
          </w:r>
        </w:p>
        <w:p w14:paraId="53FA2866" w14:textId="53CD9EA7" w:rsidR="00AE741D" w:rsidRDefault="00146F72">
          <w:pPr>
            <w:pStyle w:val="Inhopg2"/>
            <w:rPr>
              <w:rFonts w:eastAsiaTheme="minorEastAsia" w:cstheme="minorBidi"/>
              <w:bCs w:val="0"/>
              <w:noProof/>
              <w:kern w:val="2"/>
              <w:sz w:val="22"/>
              <w:lang w:eastAsia="nl-NL"/>
              <w14:ligatures w14:val="standardContextual"/>
            </w:rPr>
          </w:pPr>
          <w:r w:rsidRPr="007C5E64">
            <w:rPr>
              <w:sz w:val="26"/>
              <w:szCs w:val="24"/>
            </w:rPr>
            <w:fldChar w:fldCharType="begin"/>
          </w:r>
          <w:r w:rsidRPr="007C5E64">
            <w:instrText xml:space="preserve"> TOC \o "1-2" \h \z </w:instrText>
          </w:r>
          <w:r w:rsidRPr="007C5E64">
            <w:rPr>
              <w:sz w:val="26"/>
              <w:szCs w:val="24"/>
            </w:rPr>
            <w:fldChar w:fldCharType="separate"/>
          </w:r>
          <w:hyperlink w:anchor="_Toc148100243" w:history="1">
            <w:r w:rsidR="00AE741D" w:rsidRPr="00F95B06">
              <w:rPr>
                <w:rStyle w:val="Hyperlink"/>
                <w:noProof/>
              </w:rPr>
              <w:t>Voorwoord</w:t>
            </w:r>
            <w:r w:rsidR="00AE741D">
              <w:rPr>
                <w:noProof/>
                <w:webHidden/>
              </w:rPr>
              <w:tab/>
            </w:r>
            <w:r w:rsidR="00AE741D">
              <w:rPr>
                <w:noProof/>
                <w:webHidden/>
              </w:rPr>
              <w:fldChar w:fldCharType="begin"/>
            </w:r>
            <w:r w:rsidR="00AE741D">
              <w:rPr>
                <w:noProof/>
                <w:webHidden/>
              </w:rPr>
              <w:instrText xml:space="preserve"> PAGEREF _Toc148100243 \h </w:instrText>
            </w:r>
            <w:r w:rsidR="00AE741D">
              <w:rPr>
                <w:noProof/>
                <w:webHidden/>
              </w:rPr>
            </w:r>
            <w:r w:rsidR="00AE741D">
              <w:rPr>
                <w:noProof/>
                <w:webHidden/>
              </w:rPr>
              <w:fldChar w:fldCharType="separate"/>
            </w:r>
            <w:r w:rsidR="00DA36E7">
              <w:rPr>
                <w:noProof/>
                <w:webHidden/>
              </w:rPr>
              <w:t>2</w:t>
            </w:r>
            <w:r w:rsidR="00AE741D">
              <w:rPr>
                <w:noProof/>
                <w:webHidden/>
              </w:rPr>
              <w:fldChar w:fldCharType="end"/>
            </w:r>
          </w:hyperlink>
        </w:p>
        <w:p w14:paraId="3EECB1A3" w14:textId="0FA42CF9" w:rsidR="00AE741D" w:rsidRDefault="00B96935">
          <w:pPr>
            <w:pStyle w:val="Inhopg1"/>
            <w:rPr>
              <w:rFonts w:eastAsiaTheme="minorEastAsia" w:cstheme="minorBidi"/>
              <w:bCs w:val="0"/>
              <w:noProof/>
              <w:kern w:val="2"/>
              <w:sz w:val="22"/>
              <w:szCs w:val="22"/>
              <w:lang w:eastAsia="nl-NL"/>
              <w14:ligatures w14:val="standardContextual"/>
            </w:rPr>
          </w:pPr>
          <w:hyperlink w:anchor="_Toc148100244" w:history="1">
            <w:r w:rsidR="00AE741D" w:rsidRPr="00F95B06">
              <w:rPr>
                <w:rStyle w:val="Hyperlink"/>
                <w:noProof/>
              </w:rPr>
              <w:t>1.</w:t>
            </w:r>
            <w:r w:rsidR="00AE741D">
              <w:rPr>
                <w:rFonts w:eastAsiaTheme="minorEastAsia" w:cstheme="minorBidi"/>
                <w:bCs w:val="0"/>
                <w:noProof/>
                <w:kern w:val="2"/>
                <w:sz w:val="22"/>
                <w:szCs w:val="22"/>
                <w:lang w:eastAsia="nl-NL"/>
                <w14:ligatures w14:val="standardContextual"/>
              </w:rPr>
              <w:tab/>
            </w:r>
            <w:r w:rsidR="00AE741D" w:rsidRPr="00F95B06">
              <w:rPr>
                <w:rStyle w:val="Hyperlink"/>
                <w:noProof/>
              </w:rPr>
              <w:t>Inleiding</w:t>
            </w:r>
            <w:r w:rsidR="00AE741D">
              <w:rPr>
                <w:noProof/>
                <w:webHidden/>
              </w:rPr>
              <w:tab/>
            </w:r>
            <w:r w:rsidR="00AE741D">
              <w:rPr>
                <w:noProof/>
                <w:webHidden/>
              </w:rPr>
              <w:fldChar w:fldCharType="begin"/>
            </w:r>
            <w:r w:rsidR="00AE741D">
              <w:rPr>
                <w:noProof/>
                <w:webHidden/>
              </w:rPr>
              <w:instrText xml:space="preserve"> PAGEREF _Toc148100244 \h </w:instrText>
            </w:r>
            <w:r w:rsidR="00AE741D">
              <w:rPr>
                <w:noProof/>
                <w:webHidden/>
              </w:rPr>
            </w:r>
            <w:r w:rsidR="00AE741D">
              <w:rPr>
                <w:noProof/>
                <w:webHidden/>
              </w:rPr>
              <w:fldChar w:fldCharType="separate"/>
            </w:r>
            <w:r w:rsidR="00DA36E7">
              <w:rPr>
                <w:noProof/>
                <w:webHidden/>
              </w:rPr>
              <w:t>4</w:t>
            </w:r>
            <w:r w:rsidR="00AE741D">
              <w:rPr>
                <w:noProof/>
                <w:webHidden/>
              </w:rPr>
              <w:fldChar w:fldCharType="end"/>
            </w:r>
          </w:hyperlink>
        </w:p>
        <w:p w14:paraId="1967993A" w14:textId="4D0924B0" w:rsidR="00AE741D" w:rsidRDefault="00B96935">
          <w:pPr>
            <w:pStyle w:val="Inhopg2"/>
            <w:rPr>
              <w:rFonts w:eastAsiaTheme="minorEastAsia" w:cstheme="minorBidi"/>
              <w:bCs w:val="0"/>
              <w:noProof/>
              <w:kern w:val="2"/>
              <w:sz w:val="22"/>
              <w:lang w:eastAsia="nl-NL"/>
              <w14:ligatures w14:val="standardContextual"/>
            </w:rPr>
          </w:pPr>
          <w:hyperlink w:anchor="_Toc148100245" w:history="1">
            <w:r w:rsidR="00AE741D" w:rsidRPr="00F95B06">
              <w:rPr>
                <w:rStyle w:val="Hyperlink"/>
                <w:noProof/>
              </w:rPr>
              <w:t>1.1</w:t>
            </w:r>
            <w:r w:rsidR="00AE741D">
              <w:rPr>
                <w:rFonts w:eastAsiaTheme="minorEastAsia" w:cstheme="minorBidi"/>
                <w:bCs w:val="0"/>
                <w:noProof/>
                <w:kern w:val="2"/>
                <w:sz w:val="22"/>
                <w:lang w:eastAsia="nl-NL"/>
                <w14:ligatures w14:val="standardContextual"/>
              </w:rPr>
              <w:tab/>
            </w:r>
            <w:r w:rsidR="00AE741D" w:rsidRPr="00F95B06">
              <w:rPr>
                <w:rStyle w:val="Hyperlink"/>
                <w:noProof/>
              </w:rPr>
              <w:t>Verantwoording</w:t>
            </w:r>
            <w:r w:rsidR="00AE741D">
              <w:rPr>
                <w:noProof/>
                <w:webHidden/>
              </w:rPr>
              <w:tab/>
            </w:r>
            <w:r w:rsidR="00AE741D">
              <w:rPr>
                <w:noProof/>
                <w:webHidden/>
              </w:rPr>
              <w:fldChar w:fldCharType="begin"/>
            </w:r>
            <w:r w:rsidR="00AE741D">
              <w:rPr>
                <w:noProof/>
                <w:webHidden/>
              </w:rPr>
              <w:instrText xml:space="preserve"> PAGEREF _Toc148100245 \h </w:instrText>
            </w:r>
            <w:r w:rsidR="00AE741D">
              <w:rPr>
                <w:noProof/>
                <w:webHidden/>
              </w:rPr>
            </w:r>
            <w:r w:rsidR="00AE741D">
              <w:rPr>
                <w:noProof/>
                <w:webHidden/>
              </w:rPr>
              <w:fldChar w:fldCharType="separate"/>
            </w:r>
            <w:r w:rsidR="00DA36E7">
              <w:rPr>
                <w:noProof/>
                <w:webHidden/>
              </w:rPr>
              <w:t>4</w:t>
            </w:r>
            <w:r w:rsidR="00AE741D">
              <w:rPr>
                <w:noProof/>
                <w:webHidden/>
              </w:rPr>
              <w:fldChar w:fldCharType="end"/>
            </w:r>
          </w:hyperlink>
        </w:p>
        <w:p w14:paraId="366E05D6" w14:textId="77918757" w:rsidR="00AE741D" w:rsidRDefault="00B96935">
          <w:pPr>
            <w:pStyle w:val="Inhopg2"/>
            <w:rPr>
              <w:rFonts w:eastAsiaTheme="minorEastAsia" w:cstheme="minorBidi"/>
              <w:bCs w:val="0"/>
              <w:noProof/>
              <w:kern w:val="2"/>
              <w:sz w:val="22"/>
              <w:lang w:eastAsia="nl-NL"/>
              <w14:ligatures w14:val="standardContextual"/>
            </w:rPr>
          </w:pPr>
          <w:hyperlink w:anchor="_Toc148100246" w:history="1">
            <w:r w:rsidR="00AE741D" w:rsidRPr="00F95B06">
              <w:rPr>
                <w:rStyle w:val="Hyperlink"/>
                <w:noProof/>
              </w:rPr>
              <w:t>1.2</w:t>
            </w:r>
            <w:r w:rsidR="00AE741D">
              <w:rPr>
                <w:rFonts w:eastAsiaTheme="minorEastAsia" w:cstheme="minorBidi"/>
                <w:bCs w:val="0"/>
                <w:noProof/>
                <w:kern w:val="2"/>
                <w:sz w:val="22"/>
                <w:lang w:eastAsia="nl-NL"/>
                <w14:ligatures w14:val="standardContextual"/>
              </w:rPr>
              <w:tab/>
            </w:r>
            <w:r w:rsidR="00AE741D" w:rsidRPr="00F95B06">
              <w:rPr>
                <w:rStyle w:val="Hyperlink"/>
                <w:noProof/>
              </w:rPr>
              <w:t>Leeswijzer</w:t>
            </w:r>
            <w:r w:rsidR="00AE741D">
              <w:rPr>
                <w:noProof/>
                <w:webHidden/>
              </w:rPr>
              <w:tab/>
            </w:r>
            <w:r w:rsidR="00AE741D">
              <w:rPr>
                <w:noProof/>
                <w:webHidden/>
              </w:rPr>
              <w:fldChar w:fldCharType="begin"/>
            </w:r>
            <w:r w:rsidR="00AE741D">
              <w:rPr>
                <w:noProof/>
                <w:webHidden/>
              </w:rPr>
              <w:instrText xml:space="preserve"> PAGEREF _Toc148100246 \h </w:instrText>
            </w:r>
            <w:r w:rsidR="00AE741D">
              <w:rPr>
                <w:noProof/>
                <w:webHidden/>
              </w:rPr>
            </w:r>
            <w:r w:rsidR="00AE741D">
              <w:rPr>
                <w:noProof/>
                <w:webHidden/>
              </w:rPr>
              <w:fldChar w:fldCharType="separate"/>
            </w:r>
            <w:r w:rsidR="00DA36E7">
              <w:rPr>
                <w:noProof/>
                <w:webHidden/>
              </w:rPr>
              <w:t>4</w:t>
            </w:r>
            <w:r w:rsidR="00AE741D">
              <w:rPr>
                <w:noProof/>
                <w:webHidden/>
              </w:rPr>
              <w:fldChar w:fldCharType="end"/>
            </w:r>
          </w:hyperlink>
        </w:p>
        <w:p w14:paraId="35E2AC53" w14:textId="5DFA43E9" w:rsidR="00AE741D" w:rsidRDefault="00B96935">
          <w:pPr>
            <w:pStyle w:val="Inhopg1"/>
            <w:rPr>
              <w:rFonts w:eastAsiaTheme="minorEastAsia" w:cstheme="minorBidi"/>
              <w:bCs w:val="0"/>
              <w:noProof/>
              <w:kern w:val="2"/>
              <w:sz w:val="22"/>
              <w:szCs w:val="22"/>
              <w:lang w:eastAsia="nl-NL"/>
              <w14:ligatures w14:val="standardContextual"/>
            </w:rPr>
          </w:pPr>
          <w:hyperlink w:anchor="_Toc148100247" w:history="1">
            <w:r w:rsidR="00AE741D" w:rsidRPr="00F95B06">
              <w:rPr>
                <w:rStyle w:val="Hyperlink"/>
                <w:noProof/>
              </w:rPr>
              <w:t>2.</w:t>
            </w:r>
            <w:r w:rsidR="00AE741D">
              <w:rPr>
                <w:rFonts w:eastAsiaTheme="minorEastAsia" w:cstheme="minorBidi"/>
                <w:bCs w:val="0"/>
                <w:noProof/>
                <w:kern w:val="2"/>
                <w:sz w:val="22"/>
                <w:szCs w:val="22"/>
                <w:lang w:eastAsia="nl-NL"/>
                <w14:ligatures w14:val="standardContextual"/>
              </w:rPr>
              <w:tab/>
            </w:r>
            <w:r w:rsidR="00AE741D" w:rsidRPr="00F95B06">
              <w:rPr>
                <w:rStyle w:val="Hyperlink"/>
                <w:noProof/>
              </w:rPr>
              <w:t>Financiële positie</w:t>
            </w:r>
            <w:r w:rsidR="00AE741D">
              <w:rPr>
                <w:noProof/>
                <w:webHidden/>
              </w:rPr>
              <w:tab/>
            </w:r>
            <w:r w:rsidR="00AE741D">
              <w:rPr>
                <w:noProof/>
                <w:webHidden/>
              </w:rPr>
              <w:fldChar w:fldCharType="begin"/>
            </w:r>
            <w:r w:rsidR="00AE741D">
              <w:rPr>
                <w:noProof/>
                <w:webHidden/>
              </w:rPr>
              <w:instrText xml:space="preserve"> PAGEREF _Toc148100247 \h </w:instrText>
            </w:r>
            <w:r w:rsidR="00AE741D">
              <w:rPr>
                <w:noProof/>
                <w:webHidden/>
              </w:rPr>
            </w:r>
            <w:r w:rsidR="00AE741D">
              <w:rPr>
                <w:noProof/>
                <w:webHidden/>
              </w:rPr>
              <w:fldChar w:fldCharType="separate"/>
            </w:r>
            <w:r w:rsidR="00DA36E7">
              <w:rPr>
                <w:noProof/>
                <w:webHidden/>
              </w:rPr>
              <w:t>6</w:t>
            </w:r>
            <w:r w:rsidR="00AE741D">
              <w:rPr>
                <w:noProof/>
                <w:webHidden/>
              </w:rPr>
              <w:fldChar w:fldCharType="end"/>
            </w:r>
          </w:hyperlink>
        </w:p>
        <w:p w14:paraId="53F9ADDD" w14:textId="389F1C28" w:rsidR="00AE741D" w:rsidRDefault="00B96935">
          <w:pPr>
            <w:pStyle w:val="Inhopg2"/>
            <w:rPr>
              <w:rFonts w:eastAsiaTheme="minorEastAsia" w:cstheme="minorBidi"/>
              <w:bCs w:val="0"/>
              <w:noProof/>
              <w:kern w:val="2"/>
              <w:sz w:val="22"/>
              <w:lang w:eastAsia="nl-NL"/>
              <w14:ligatures w14:val="standardContextual"/>
            </w:rPr>
          </w:pPr>
          <w:hyperlink w:anchor="_Toc148100248" w:history="1">
            <w:r w:rsidR="00AE741D" w:rsidRPr="00F95B06">
              <w:rPr>
                <w:rStyle w:val="Hyperlink"/>
                <w:noProof/>
              </w:rPr>
              <w:t>2.1</w:t>
            </w:r>
            <w:r w:rsidR="00AE741D">
              <w:rPr>
                <w:rFonts w:eastAsiaTheme="minorEastAsia" w:cstheme="minorBidi"/>
                <w:bCs w:val="0"/>
                <w:noProof/>
                <w:kern w:val="2"/>
                <w:sz w:val="22"/>
                <w:lang w:eastAsia="nl-NL"/>
                <w14:ligatures w14:val="standardContextual"/>
              </w:rPr>
              <w:tab/>
            </w:r>
            <w:r w:rsidR="00AE741D" w:rsidRPr="00F95B06">
              <w:rPr>
                <w:rStyle w:val="Hyperlink"/>
                <w:noProof/>
              </w:rPr>
              <w:t>Resultaat</w:t>
            </w:r>
            <w:r w:rsidR="00AE741D">
              <w:rPr>
                <w:noProof/>
                <w:webHidden/>
              </w:rPr>
              <w:tab/>
            </w:r>
            <w:r w:rsidR="00AE741D">
              <w:rPr>
                <w:noProof/>
                <w:webHidden/>
              </w:rPr>
              <w:fldChar w:fldCharType="begin"/>
            </w:r>
            <w:r w:rsidR="00AE741D">
              <w:rPr>
                <w:noProof/>
                <w:webHidden/>
              </w:rPr>
              <w:instrText xml:space="preserve"> PAGEREF _Toc148100248 \h </w:instrText>
            </w:r>
            <w:r w:rsidR="00AE741D">
              <w:rPr>
                <w:noProof/>
                <w:webHidden/>
              </w:rPr>
            </w:r>
            <w:r w:rsidR="00AE741D">
              <w:rPr>
                <w:noProof/>
                <w:webHidden/>
              </w:rPr>
              <w:fldChar w:fldCharType="separate"/>
            </w:r>
            <w:r w:rsidR="00DA36E7">
              <w:rPr>
                <w:noProof/>
                <w:webHidden/>
              </w:rPr>
              <w:t>6</w:t>
            </w:r>
            <w:r w:rsidR="00AE741D">
              <w:rPr>
                <w:noProof/>
                <w:webHidden/>
              </w:rPr>
              <w:fldChar w:fldCharType="end"/>
            </w:r>
          </w:hyperlink>
        </w:p>
        <w:p w14:paraId="2C8FDC97" w14:textId="113B10BD" w:rsidR="00AE741D" w:rsidRDefault="00B96935">
          <w:pPr>
            <w:pStyle w:val="Inhopg2"/>
            <w:rPr>
              <w:rFonts w:eastAsiaTheme="minorEastAsia" w:cstheme="minorBidi"/>
              <w:bCs w:val="0"/>
              <w:noProof/>
              <w:kern w:val="2"/>
              <w:sz w:val="22"/>
              <w:lang w:eastAsia="nl-NL"/>
              <w14:ligatures w14:val="standardContextual"/>
            </w:rPr>
          </w:pPr>
          <w:hyperlink w:anchor="_Toc148100249" w:history="1">
            <w:r w:rsidR="00AE741D" w:rsidRPr="00F95B06">
              <w:rPr>
                <w:rStyle w:val="Hyperlink"/>
                <w:noProof/>
              </w:rPr>
              <w:t>2.2</w:t>
            </w:r>
            <w:r w:rsidR="00AE741D">
              <w:rPr>
                <w:rFonts w:eastAsiaTheme="minorEastAsia" w:cstheme="minorBidi"/>
                <w:bCs w:val="0"/>
                <w:noProof/>
                <w:kern w:val="2"/>
                <w:sz w:val="22"/>
                <w:lang w:eastAsia="nl-NL"/>
                <w14:ligatures w14:val="standardContextual"/>
              </w:rPr>
              <w:tab/>
            </w:r>
            <w:r w:rsidR="00AE741D" w:rsidRPr="00F95B06">
              <w:rPr>
                <w:rStyle w:val="Hyperlink"/>
                <w:noProof/>
              </w:rPr>
              <w:t>Liquiditeit</w:t>
            </w:r>
            <w:r w:rsidR="00AE741D">
              <w:rPr>
                <w:noProof/>
                <w:webHidden/>
              </w:rPr>
              <w:tab/>
            </w:r>
            <w:r w:rsidR="00AE741D">
              <w:rPr>
                <w:noProof/>
                <w:webHidden/>
              </w:rPr>
              <w:fldChar w:fldCharType="begin"/>
            </w:r>
            <w:r w:rsidR="00AE741D">
              <w:rPr>
                <w:noProof/>
                <w:webHidden/>
              </w:rPr>
              <w:instrText xml:space="preserve"> PAGEREF _Toc148100249 \h </w:instrText>
            </w:r>
            <w:r w:rsidR="00AE741D">
              <w:rPr>
                <w:noProof/>
                <w:webHidden/>
              </w:rPr>
            </w:r>
            <w:r w:rsidR="00AE741D">
              <w:rPr>
                <w:noProof/>
                <w:webHidden/>
              </w:rPr>
              <w:fldChar w:fldCharType="separate"/>
            </w:r>
            <w:r w:rsidR="00DA36E7">
              <w:rPr>
                <w:noProof/>
                <w:webHidden/>
              </w:rPr>
              <w:t>7</w:t>
            </w:r>
            <w:r w:rsidR="00AE741D">
              <w:rPr>
                <w:noProof/>
                <w:webHidden/>
              </w:rPr>
              <w:fldChar w:fldCharType="end"/>
            </w:r>
          </w:hyperlink>
        </w:p>
        <w:p w14:paraId="260E5683" w14:textId="45CFCE81" w:rsidR="00AE741D" w:rsidRDefault="00B96935">
          <w:pPr>
            <w:pStyle w:val="Inhopg2"/>
            <w:rPr>
              <w:rFonts w:eastAsiaTheme="minorEastAsia" w:cstheme="minorBidi"/>
              <w:bCs w:val="0"/>
              <w:noProof/>
              <w:kern w:val="2"/>
              <w:sz w:val="22"/>
              <w:lang w:eastAsia="nl-NL"/>
              <w14:ligatures w14:val="standardContextual"/>
            </w:rPr>
          </w:pPr>
          <w:hyperlink w:anchor="_Toc148100250" w:history="1">
            <w:r w:rsidR="00AE741D" w:rsidRPr="00F95B06">
              <w:rPr>
                <w:rStyle w:val="Hyperlink"/>
                <w:noProof/>
              </w:rPr>
              <w:t>2.3</w:t>
            </w:r>
            <w:r w:rsidR="00AE741D">
              <w:rPr>
                <w:rFonts w:eastAsiaTheme="minorEastAsia" w:cstheme="minorBidi"/>
                <w:bCs w:val="0"/>
                <w:noProof/>
                <w:kern w:val="2"/>
                <w:sz w:val="22"/>
                <w:lang w:eastAsia="nl-NL"/>
                <w14:ligatures w14:val="standardContextual"/>
              </w:rPr>
              <w:tab/>
            </w:r>
            <w:r w:rsidR="00AE741D" w:rsidRPr="00F95B06">
              <w:rPr>
                <w:rStyle w:val="Hyperlink"/>
                <w:noProof/>
              </w:rPr>
              <w:t>Solvabiliteit</w:t>
            </w:r>
            <w:r w:rsidR="00AE741D">
              <w:rPr>
                <w:noProof/>
                <w:webHidden/>
              </w:rPr>
              <w:tab/>
            </w:r>
            <w:r w:rsidR="00AE741D">
              <w:rPr>
                <w:noProof/>
                <w:webHidden/>
              </w:rPr>
              <w:fldChar w:fldCharType="begin"/>
            </w:r>
            <w:r w:rsidR="00AE741D">
              <w:rPr>
                <w:noProof/>
                <w:webHidden/>
              </w:rPr>
              <w:instrText xml:space="preserve"> PAGEREF _Toc148100250 \h </w:instrText>
            </w:r>
            <w:r w:rsidR="00AE741D">
              <w:rPr>
                <w:noProof/>
                <w:webHidden/>
              </w:rPr>
            </w:r>
            <w:r w:rsidR="00AE741D">
              <w:rPr>
                <w:noProof/>
                <w:webHidden/>
              </w:rPr>
              <w:fldChar w:fldCharType="separate"/>
            </w:r>
            <w:r w:rsidR="00DA36E7">
              <w:rPr>
                <w:noProof/>
                <w:webHidden/>
              </w:rPr>
              <w:t>7</w:t>
            </w:r>
            <w:r w:rsidR="00AE741D">
              <w:rPr>
                <w:noProof/>
                <w:webHidden/>
              </w:rPr>
              <w:fldChar w:fldCharType="end"/>
            </w:r>
          </w:hyperlink>
        </w:p>
        <w:p w14:paraId="0F19A846" w14:textId="3A872970" w:rsidR="00AE741D" w:rsidRDefault="00B96935">
          <w:pPr>
            <w:pStyle w:val="Inhopg1"/>
            <w:rPr>
              <w:rFonts w:eastAsiaTheme="minorEastAsia" w:cstheme="minorBidi"/>
              <w:bCs w:val="0"/>
              <w:noProof/>
              <w:kern w:val="2"/>
              <w:sz w:val="22"/>
              <w:szCs w:val="22"/>
              <w:lang w:eastAsia="nl-NL"/>
              <w14:ligatures w14:val="standardContextual"/>
            </w:rPr>
          </w:pPr>
          <w:hyperlink w:anchor="_Toc148100251" w:history="1">
            <w:r w:rsidR="00AE741D" w:rsidRPr="00F95B06">
              <w:rPr>
                <w:rStyle w:val="Hyperlink"/>
                <w:noProof/>
              </w:rPr>
              <w:t>3.</w:t>
            </w:r>
            <w:r w:rsidR="00AE741D">
              <w:rPr>
                <w:rFonts w:eastAsiaTheme="minorEastAsia" w:cstheme="minorBidi"/>
                <w:bCs w:val="0"/>
                <w:noProof/>
                <w:kern w:val="2"/>
                <w:sz w:val="22"/>
                <w:szCs w:val="22"/>
                <w:lang w:eastAsia="nl-NL"/>
                <w14:ligatures w14:val="standardContextual"/>
              </w:rPr>
              <w:tab/>
            </w:r>
            <w:r w:rsidR="00AE741D" w:rsidRPr="00F95B06">
              <w:rPr>
                <w:rStyle w:val="Hyperlink"/>
                <w:noProof/>
              </w:rPr>
              <w:t>Bedrijfslasten</w:t>
            </w:r>
            <w:r w:rsidR="00AE741D">
              <w:rPr>
                <w:noProof/>
                <w:webHidden/>
              </w:rPr>
              <w:tab/>
            </w:r>
            <w:r w:rsidR="00AE741D">
              <w:rPr>
                <w:noProof/>
                <w:webHidden/>
              </w:rPr>
              <w:fldChar w:fldCharType="begin"/>
            </w:r>
            <w:r w:rsidR="00AE741D">
              <w:rPr>
                <w:noProof/>
                <w:webHidden/>
              </w:rPr>
              <w:instrText xml:space="preserve"> PAGEREF _Toc148100251 \h </w:instrText>
            </w:r>
            <w:r w:rsidR="00AE741D">
              <w:rPr>
                <w:noProof/>
                <w:webHidden/>
              </w:rPr>
            </w:r>
            <w:r w:rsidR="00AE741D">
              <w:rPr>
                <w:noProof/>
                <w:webHidden/>
              </w:rPr>
              <w:fldChar w:fldCharType="separate"/>
            </w:r>
            <w:r w:rsidR="00DA36E7">
              <w:rPr>
                <w:noProof/>
                <w:webHidden/>
              </w:rPr>
              <w:t>9</w:t>
            </w:r>
            <w:r w:rsidR="00AE741D">
              <w:rPr>
                <w:noProof/>
                <w:webHidden/>
              </w:rPr>
              <w:fldChar w:fldCharType="end"/>
            </w:r>
          </w:hyperlink>
        </w:p>
        <w:p w14:paraId="6659403F" w14:textId="7613A681" w:rsidR="00AE741D" w:rsidRDefault="00B96935">
          <w:pPr>
            <w:pStyle w:val="Inhopg2"/>
            <w:rPr>
              <w:rFonts w:eastAsiaTheme="minorEastAsia" w:cstheme="minorBidi"/>
              <w:bCs w:val="0"/>
              <w:noProof/>
              <w:kern w:val="2"/>
              <w:sz w:val="22"/>
              <w:lang w:eastAsia="nl-NL"/>
              <w14:ligatures w14:val="standardContextual"/>
            </w:rPr>
          </w:pPr>
          <w:hyperlink w:anchor="_Toc148100252" w:history="1">
            <w:r w:rsidR="00AE741D" w:rsidRPr="00F95B06">
              <w:rPr>
                <w:rStyle w:val="Hyperlink"/>
                <w:noProof/>
              </w:rPr>
              <w:t>3.1</w:t>
            </w:r>
            <w:r w:rsidR="00AE741D">
              <w:rPr>
                <w:rFonts w:eastAsiaTheme="minorEastAsia" w:cstheme="minorBidi"/>
                <w:bCs w:val="0"/>
                <w:noProof/>
                <w:kern w:val="2"/>
                <w:sz w:val="22"/>
                <w:lang w:eastAsia="nl-NL"/>
                <w14:ligatures w14:val="standardContextual"/>
              </w:rPr>
              <w:tab/>
            </w:r>
            <w:r w:rsidR="00AE741D" w:rsidRPr="00F95B06">
              <w:rPr>
                <w:rStyle w:val="Hyperlink"/>
                <w:noProof/>
              </w:rPr>
              <w:t>Inkoopuitgaven</w:t>
            </w:r>
            <w:r w:rsidR="00AE741D">
              <w:rPr>
                <w:noProof/>
                <w:webHidden/>
              </w:rPr>
              <w:tab/>
            </w:r>
            <w:r w:rsidR="00AE741D">
              <w:rPr>
                <w:noProof/>
                <w:webHidden/>
              </w:rPr>
              <w:fldChar w:fldCharType="begin"/>
            </w:r>
            <w:r w:rsidR="00AE741D">
              <w:rPr>
                <w:noProof/>
                <w:webHidden/>
              </w:rPr>
              <w:instrText xml:space="preserve"> PAGEREF _Toc148100252 \h </w:instrText>
            </w:r>
            <w:r w:rsidR="00AE741D">
              <w:rPr>
                <w:noProof/>
                <w:webHidden/>
              </w:rPr>
            </w:r>
            <w:r w:rsidR="00AE741D">
              <w:rPr>
                <w:noProof/>
                <w:webHidden/>
              </w:rPr>
              <w:fldChar w:fldCharType="separate"/>
            </w:r>
            <w:r w:rsidR="00DA36E7">
              <w:rPr>
                <w:noProof/>
                <w:webHidden/>
              </w:rPr>
              <w:t>11</w:t>
            </w:r>
            <w:r w:rsidR="00AE741D">
              <w:rPr>
                <w:noProof/>
                <w:webHidden/>
              </w:rPr>
              <w:fldChar w:fldCharType="end"/>
            </w:r>
          </w:hyperlink>
        </w:p>
        <w:p w14:paraId="0902A148" w14:textId="702F72FF" w:rsidR="00AE741D" w:rsidRDefault="00B96935">
          <w:pPr>
            <w:pStyle w:val="Inhopg2"/>
            <w:rPr>
              <w:rFonts w:eastAsiaTheme="minorEastAsia" w:cstheme="minorBidi"/>
              <w:bCs w:val="0"/>
              <w:noProof/>
              <w:kern w:val="2"/>
              <w:sz w:val="22"/>
              <w:lang w:eastAsia="nl-NL"/>
              <w14:ligatures w14:val="standardContextual"/>
            </w:rPr>
          </w:pPr>
          <w:hyperlink w:anchor="_Toc148100253" w:history="1">
            <w:r w:rsidR="00AE741D" w:rsidRPr="00F95B06">
              <w:rPr>
                <w:rStyle w:val="Hyperlink"/>
                <w:noProof/>
              </w:rPr>
              <w:t>3.2</w:t>
            </w:r>
            <w:r w:rsidR="00AE741D">
              <w:rPr>
                <w:rFonts w:eastAsiaTheme="minorEastAsia" w:cstheme="minorBidi"/>
                <w:bCs w:val="0"/>
                <w:noProof/>
                <w:kern w:val="2"/>
                <w:sz w:val="22"/>
                <w:lang w:eastAsia="nl-NL"/>
                <w14:ligatures w14:val="standardContextual"/>
              </w:rPr>
              <w:tab/>
            </w:r>
            <w:r w:rsidR="00AE741D" w:rsidRPr="00F95B06">
              <w:rPr>
                <w:rStyle w:val="Hyperlink"/>
                <w:noProof/>
              </w:rPr>
              <w:t>Personeelskosten</w:t>
            </w:r>
            <w:r w:rsidR="00AE741D">
              <w:rPr>
                <w:noProof/>
                <w:webHidden/>
              </w:rPr>
              <w:tab/>
            </w:r>
            <w:r w:rsidR="00AE741D">
              <w:rPr>
                <w:noProof/>
                <w:webHidden/>
              </w:rPr>
              <w:fldChar w:fldCharType="begin"/>
            </w:r>
            <w:r w:rsidR="00AE741D">
              <w:rPr>
                <w:noProof/>
                <w:webHidden/>
              </w:rPr>
              <w:instrText xml:space="preserve"> PAGEREF _Toc148100253 \h </w:instrText>
            </w:r>
            <w:r w:rsidR="00AE741D">
              <w:rPr>
                <w:noProof/>
                <w:webHidden/>
              </w:rPr>
            </w:r>
            <w:r w:rsidR="00AE741D">
              <w:rPr>
                <w:noProof/>
                <w:webHidden/>
              </w:rPr>
              <w:fldChar w:fldCharType="separate"/>
            </w:r>
            <w:r w:rsidR="00DA36E7">
              <w:rPr>
                <w:noProof/>
                <w:webHidden/>
              </w:rPr>
              <w:t>13</w:t>
            </w:r>
            <w:r w:rsidR="00AE741D">
              <w:rPr>
                <w:noProof/>
                <w:webHidden/>
              </w:rPr>
              <w:fldChar w:fldCharType="end"/>
            </w:r>
          </w:hyperlink>
        </w:p>
        <w:p w14:paraId="3D4FC4A9" w14:textId="44F20C51" w:rsidR="00146F72" w:rsidRPr="007C5E64" w:rsidRDefault="00146F72">
          <w:r w:rsidRPr="007C5E64">
            <w:rPr>
              <w:rFonts w:cstheme="minorHAnsi"/>
            </w:rPr>
            <w:fldChar w:fldCharType="end"/>
          </w:r>
        </w:p>
      </w:sdtContent>
    </w:sdt>
    <w:p w14:paraId="38386BB9" w14:textId="77777777" w:rsidR="00146F72" w:rsidRPr="007C5E64" w:rsidRDefault="00146F72" w:rsidP="00CD3BB3">
      <w:pPr>
        <w:pStyle w:val="06Bodytekst"/>
      </w:pPr>
    </w:p>
    <w:p w14:paraId="67897A5C" w14:textId="77777777" w:rsidR="00146F72" w:rsidRPr="007C5E64" w:rsidRDefault="00146F72" w:rsidP="00CD3BB3">
      <w:pPr>
        <w:pStyle w:val="06Bodytekst"/>
      </w:pPr>
    </w:p>
    <w:p w14:paraId="202819AE" w14:textId="77777777" w:rsidR="00E038A9" w:rsidRPr="007C5E64" w:rsidRDefault="00E038A9" w:rsidP="00CD3BB3">
      <w:pPr>
        <w:pStyle w:val="06Bodytekst"/>
      </w:pPr>
    </w:p>
    <w:p w14:paraId="3D6DDE29" w14:textId="77777777" w:rsidR="00E038A9" w:rsidRPr="007C5E64" w:rsidRDefault="00E038A9">
      <w:pPr>
        <w:spacing w:after="160" w:line="259" w:lineRule="auto"/>
        <w:rPr>
          <w:sz w:val="18"/>
        </w:rPr>
      </w:pPr>
      <w:r w:rsidRPr="007C5E64">
        <w:br w:type="page"/>
      </w:r>
    </w:p>
    <w:p w14:paraId="3AF09C58" w14:textId="77777777" w:rsidR="00D47B1E" w:rsidRPr="005B63A4" w:rsidRDefault="00834F85" w:rsidP="001706E6">
      <w:pPr>
        <w:pStyle w:val="01HoofdstukTitel"/>
      </w:pPr>
      <w:bookmarkStart w:id="1" w:name="_Toc148100244"/>
      <w:r w:rsidRPr="005B63A4">
        <w:lastRenderedPageBreak/>
        <w:t>Inleiding</w:t>
      </w:r>
      <w:bookmarkEnd w:id="1"/>
    </w:p>
    <w:p w14:paraId="3BAAA074" w14:textId="77777777" w:rsidR="00D47B1E" w:rsidRPr="005B63A4" w:rsidRDefault="00834F85" w:rsidP="00D47B1E">
      <w:pPr>
        <w:pStyle w:val="02Paragraafkop"/>
        <w:rPr>
          <w:color w:val="auto"/>
        </w:rPr>
      </w:pPr>
      <w:bookmarkStart w:id="2" w:name="_Toc148100245"/>
      <w:r w:rsidRPr="005B63A4">
        <w:rPr>
          <w:color w:val="auto"/>
        </w:rPr>
        <w:t>Verantwoording</w:t>
      </w:r>
      <w:bookmarkEnd w:id="2"/>
    </w:p>
    <w:p w14:paraId="20BE753E" w14:textId="7AED1FB5" w:rsidR="005F77F1" w:rsidRPr="005B63A4" w:rsidRDefault="00834F85" w:rsidP="005F77F1">
      <w:pPr>
        <w:pStyle w:val="06Bodytekst"/>
        <w:rPr>
          <w:color w:val="auto"/>
        </w:rPr>
      </w:pPr>
      <w:r w:rsidRPr="005B63A4">
        <w:rPr>
          <w:color w:val="auto"/>
        </w:rPr>
        <w:t>Intrakoop</w:t>
      </w:r>
      <w:r w:rsidR="007A2497" w:rsidRPr="005B63A4">
        <w:rPr>
          <w:color w:val="auto"/>
        </w:rPr>
        <w:t xml:space="preserve">, de inkoopcoöperatie van de zorg, </w:t>
      </w:r>
      <w:r w:rsidRPr="005B63A4">
        <w:rPr>
          <w:color w:val="auto"/>
        </w:rPr>
        <w:t xml:space="preserve">en Verstegen accountants en adviseurs </w:t>
      </w:r>
      <w:r w:rsidR="005F77F1" w:rsidRPr="005B63A4">
        <w:rPr>
          <w:color w:val="auto"/>
        </w:rPr>
        <w:t>hebben een analyse uitgevoerd op de jaarversla</w:t>
      </w:r>
      <w:r w:rsidR="0016169C" w:rsidRPr="005B63A4">
        <w:rPr>
          <w:color w:val="auto"/>
        </w:rPr>
        <w:t xml:space="preserve">gen van </w:t>
      </w:r>
      <w:r w:rsidR="00F156DE" w:rsidRPr="005B63A4">
        <w:rPr>
          <w:color w:val="auto"/>
        </w:rPr>
        <w:t>organisaties</w:t>
      </w:r>
      <w:r w:rsidR="0016169C" w:rsidRPr="005B63A4">
        <w:rPr>
          <w:color w:val="auto"/>
        </w:rPr>
        <w:t xml:space="preserve"> actief in de </w:t>
      </w:r>
      <w:r w:rsidR="009F255F" w:rsidRPr="005B63A4">
        <w:rPr>
          <w:color w:val="auto"/>
        </w:rPr>
        <w:t>geestelijke g</w:t>
      </w:r>
      <w:r w:rsidR="00083AF3" w:rsidRPr="005B63A4">
        <w:rPr>
          <w:color w:val="auto"/>
        </w:rPr>
        <w:t xml:space="preserve">ezondheidszorg (GGZ) </w:t>
      </w:r>
      <w:r w:rsidR="00F156DE" w:rsidRPr="005B63A4">
        <w:rPr>
          <w:color w:val="auto"/>
        </w:rPr>
        <w:t xml:space="preserve">die </w:t>
      </w:r>
      <w:r w:rsidR="005B63A4" w:rsidRPr="005B63A4">
        <w:rPr>
          <w:color w:val="auto"/>
        </w:rPr>
        <w:t xml:space="preserve">in </w:t>
      </w:r>
      <w:r w:rsidR="00FE4A51">
        <w:rPr>
          <w:color w:val="auto"/>
        </w:rPr>
        <w:t>september 2023</w:t>
      </w:r>
      <w:r w:rsidR="005F77F1" w:rsidRPr="005B63A4">
        <w:rPr>
          <w:color w:val="auto"/>
        </w:rPr>
        <w:t xml:space="preserve"> besc</w:t>
      </w:r>
      <w:r w:rsidR="00F156DE" w:rsidRPr="005B63A4">
        <w:rPr>
          <w:color w:val="auto"/>
        </w:rPr>
        <w:t>hikbaar waren over het jaar 20</w:t>
      </w:r>
      <w:r w:rsidR="005B63A4" w:rsidRPr="005B63A4">
        <w:rPr>
          <w:color w:val="auto"/>
        </w:rPr>
        <w:t>2</w:t>
      </w:r>
      <w:r w:rsidR="00FE4A51">
        <w:rPr>
          <w:color w:val="auto"/>
        </w:rPr>
        <w:t>2</w:t>
      </w:r>
      <w:r w:rsidR="005F77F1" w:rsidRPr="005B63A4">
        <w:rPr>
          <w:color w:val="auto"/>
        </w:rPr>
        <w:t xml:space="preserve">. Doel van deze jaarverslagenanalyse is de financiële kengetallen en uitgaven van de </w:t>
      </w:r>
      <w:r w:rsidR="009B3CB4" w:rsidRPr="005B63A4">
        <w:rPr>
          <w:color w:val="auto"/>
        </w:rPr>
        <w:t>GGZ</w:t>
      </w:r>
      <w:r w:rsidR="005F77F1" w:rsidRPr="005B63A4">
        <w:rPr>
          <w:color w:val="auto"/>
        </w:rPr>
        <w:t xml:space="preserve">-sector in kaart te brengen. </w:t>
      </w:r>
    </w:p>
    <w:p w14:paraId="69B2EA30" w14:textId="77777777" w:rsidR="005F77F1" w:rsidRPr="008C4302" w:rsidRDefault="005F77F1" w:rsidP="005F77F1">
      <w:pPr>
        <w:pStyle w:val="06Bodytekst"/>
        <w:rPr>
          <w:color w:val="auto"/>
          <w:highlight w:val="yellow"/>
        </w:rPr>
      </w:pPr>
    </w:p>
    <w:p w14:paraId="1EFF404A" w14:textId="0A8F9109" w:rsidR="00655EE5" w:rsidRPr="008C4302" w:rsidRDefault="00655EE5" w:rsidP="00655EE5">
      <w:pPr>
        <w:pStyle w:val="06Bodytekst"/>
        <w:rPr>
          <w:color w:val="auto"/>
          <w:highlight w:val="yellow"/>
        </w:rPr>
      </w:pPr>
      <w:r w:rsidRPr="001766C6">
        <w:rPr>
          <w:color w:val="auto"/>
        </w:rPr>
        <w:t xml:space="preserve">De analyse is uitgevoerd op basis van </w:t>
      </w:r>
      <w:r w:rsidR="00404426">
        <w:rPr>
          <w:color w:val="auto"/>
        </w:rPr>
        <w:t>16</w:t>
      </w:r>
      <w:r w:rsidR="007F58CA">
        <w:rPr>
          <w:color w:val="auto"/>
        </w:rPr>
        <w:t>6</w:t>
      </w:r>
      <w:r w:rsidRPr="001766C6">
        <w:rPr>
          <w:color w:val="auto"/>
        </w:rPr>
        <w:t xml:space="preserve"> jaarverslagen, voorzien van financiële cijfers over het jaar </w:t>
      </w:r>
      <w:r w:rsidR="001766C6" w:rsidRPr="001766C6">
        <w:rPr>
          <w:color w:val="auto"/>
        </w:rPr>
        <w:t>202</w:t>
      </w:r>
      <w:r w:rsidR="0088411A">
        <w:rPr>
          <w:color w:val="auto"/>
        </w:rPr>
        <w:t>2</w:t>
      </w:r>
      <w:r w:rsidRPr="001766C6">
        <w:rPr>
          <w:color w:val="auto"/>
        </w:rPr>
        <w:t xml:space="preserve"> met vergelijkende cijfers over 20</w:t>
      </w:r>
      <w:r w:rsidR="001766C6" w:rsidRPr="001766C6">
        <w:rPr>
          <w:color w:val="auto"/>
        </w:rPr>
        <w:t>2</w:t>
      </w:r>
      <w:r w:rsidR="00404426">
        <w:rPr>
          <w:color w:val="auto"/>
        </w:rPr>
        <w:t>1</w:t>
      </w:r>
      <w:r w:rsidRPr="001766C6">
        <w:rPr>
          <w:rStyle w:val="Voetnootmarkering"/>
          <w:color w:val="auto"/>
        </w:rPr>
        <w:footnoteReference w:id="2"/>
      </w:r>
      <w:r w:rsidRPr="001766C6">
        <w:rPr>
          <w:color w:val="auto"/>
        </w:rPr>
        <w:t xml:space="preserve">. </w:t>
      </w:r>
      <w:r w:rsidR="005E7225">
        <w:rPr>
          <w:color w:val="auto"/>
        </w:rPr>
        <w:t xml:space="preserve">Het betreft </w:t>
      </w:r>
      <w:r w:rsidR="00144BAD">
        <w:rPr>
          <w:color w:val="auto"/>
        </w:rPr>
        <w:t xml:space="preserve">organisaties binnen </w:t>
      </w:r>
      <w:r w:rsidR="005E7225">
        <w:rPr>
          <w:color w:val="auto"/>
        </w:rPr>
        <w:t>de totale GGZ-sector met een omzet vanaf € 1 mln.</w:t>
      </w:r>
      <w:r w:rsidR="007B4FFF">
        <w:rPr>
          <w:color w:val="auto"/>
        </w:rPr>
        <w:t xml:space="preserve">, </w:t>
      </w:r>
      <w:r w:rsidR="00AE2F11">
        <w:rPr>
          <w:color w:val="auto"/>
        </w:rPr>
        <w:t>exclusief organisatie</w:t>
      </w:r>
      <w:r w:rsidR="00144BAD">
        <w:rPr>
          <w:color w:val="auto"/>
        </w:rPr>
        <w:t>s</w:t>
      </w:r>
      <w:r w:rsidR="00AE2F11">
        <w:rPr>
          <w:color w:val="auto"/>
        </w:rPr>
        <w:t xml:space="preserve"> actief in de </w:t>
      </w:r>
      <w:r w:rsidR="007B4FFF">
        <w:rPr>
          <w:color w:val="auto"/>
        </w:rPr>
        <w:t>jeugdzorg.</w:t>
      </w:r>
      <w:r w:rsidR="005E7225">
        <w:rPr>
          <w:color w:val="auto"/>
        </w:rPr>
        <w:t xml:space="preserve"> </w:t>
      </w:r>
      <w:r w:rsidR="00CA1940">
        <w:rPr>
          <w:color w:val="auto"/>
        </w:rPr>
        <w:t xml:space="preserve">Van enkele kleinere organisaties </w:t>
      </w:r>
      <w:r w:rsidR="00C30F09">
        <w:rPr>
          <w:color w:val="auto"/>
        </w:rPr>
        <w:t>is geen verbijzondering van de overige bedrijfskosten bekend</w:t>
      </w:r>
      <w:r w:rsidR="00D85358">
        <w:rPr>
          <w:color w:val="auto"/>
        </w:rPr>
        <w:t>, waardoor de inkoopkosten niet konden worden bepaald</w:t>
      </w:r>
      <w:r w:rsidR="00C30F09">
        <w:rPr>
          <w:color w:val="auto"/>
        </w:rPr>
        <w:t>. Deze organisaties zijn buiten de analyse gehouden.</w:t>
      </w:r>
      <w:r w:rsidR="00CA1940">
        <w:rPr>
          <w:color w:val="auto"/>
        </w:rPr>
        <w:t xml:space="preserve"> </w:t>
      </w:r>
      <w:r w:rsidR="00513594">
        <w:rPr>
          <w:color w:val="auto"/>
        </w:rPr>
        <w:t xml:space="preserve">De onderzochte organisaties vertegenwoordigen </w:t>
      </w:r>
      <w:r w:rsidR="00C87CE3">
        <w:rPr>
          <w:color w:val="auto"/>
        </w:rPr>
        <w:t>9</w:t>
      </w:r>
      <w:r w:rsidR="004C60BD">
        <w:rPr>
          <w:color w:val="auto"/>
        </w:rPr>
        <w:t>5</w:t>
      </w:r>
      <w:r w:rsidR="00C87CE3">
        <w:rPr>
          <w:color w:val="auto"/>
        </w:rPr>
        <w:t xml:space="preserve">% van de totale sectoromzet. </w:t>
      </w:r>
      <w:r w:rsidRPr="001766C6">
        <w:rPr>
          <w:color w:val="auto"/>
        </w:rPr>
        <w:t xml:space="preserve">Bij de analyse is gebruik gemaakt van de gegevens uit DigiMV (bron: CIBG, Ministerie van Volksgezondheid, Welzijn en Sport, bewerkt en beschikbaar gesteld door Intrakoop). </w:t>
      </w:r>
    </w:p>
    <w:p w14:paraId="42F8D05F" w14:textId="77777777" w:rsidR="00F156DE" w:rsidRPr="008C4302" w:rsidRDefault="00F156DE" w:rsidP="005F77F1">
      <w:pPr>
        <w:pStyle w:val="06Bodytekst"/>
        <w:rPr>
          <w:color w:val="auto"/>
          <w:highlight w:val="yellow"/>
        </w:rPr>
      </w:pPr>
    </w:p>
    <w:p w14:paraId="1F039684" w14:textId="77777777" w:rsidR="00584B5A" w:rsidRPr="005E7225" w:rsidRDefault="00584B5A" w:rsidP="00584B5A">
      <w:pPr>
        <w:pStyle w:val="04Tussenkop"/>
        <w:rPr>
          <w:color w:val="auto"/>
        </w:rPr>
      </w:pPr>
      <w:r w:rsidRPr="005E7225">
        <w:rPr>
          <w:color w:val="auto"/>
        </w:rPr>
        <w:t>Wie zijn wij</w:t>
      </w:r>
    </w:p>
    <w:p w14:paraId="67B20EEE" w14:textId="67153741" w:rsidR="00584B5A" w:rsidRPr="005E7225" w:rsidRDefault="00584B5A" w:rsidP="00584B5A">
      <w:pPr>
        <w:pStyle w:val="06Bodytekst"/>
        <w:rPr>
          <w:color w:val="auto"/>
        </w:rPr>
      </w:pPr>
      <w:r w:rsidRPr="005E7225">
        <w:rPr>
          <w:color w:val="auto"/>
        </w:rPr>
        <w:t xml:space="preserve">Intrakoop is de inkoopcoöperatie van de zorg voor </w:t>
      </w:r>
      <w:r w:rsidR="001255FD">
        <w:rPr>
          <w:color w:val="auto"/>
        </w:rPr>
        <w:t>ruim 500</w:t>
      </w:r>
      <w:r w:rsidRPr="005E7225">
        <w:rPr>
          <w:color w:val="auto"/>
        </w:rPr>
        <w:t xml:space="preserve"> zorgorganisaties met meer dan 7.000 locaties. We verbinden leden en leveranciers met elkaar. Zo maken we goede zorg betaalbaar.</w:t>
      </w:r>
    </w:p>
    <w:p w14:paraId="05BA50DD" w14:textId="6C1D2B97" w:rsidR="00584B5A" w:rsidRPr="005E7225" w:rsidRDefault="00584B5A" w:rsidP="00584B5A">
      <w:pPr>
        <w:pStyle w:val="07OpsommingN1Bullet"/>
        <w:numPr>
          <w:ilvl w:val="0"/>
          <w:numId w:val="0"/>
        </w:numPr>
        <w:rPr>
          <w:color w:val="auto"/>
        </w:rPr>
      </w:pPr>
      <w:r w:rsidRPr="005E7225">
        <w:rPr>
          <w:color w:val="auto"/>
        </w:rPr>
        <w:t xml:space="preserve">Verstegen accountants en adviseurs is de huisaccountant van meer dan </w:t>
      </w:r>
      <w:r w:rsidR="0088411A">
        <w:rPr>
          <w:color w:val="auto"/>
        </w:rPr>
        <w:t xml:space="preserve">200 </w:t>
      </w:r>
      <w:r w:rsidRPr="005E7225">
        <w:rPr>
          <w:color w:val="auto"/>
        </w:rPr>
        <w:t>zorgorganisaties. Zij controleren de jaarcijfers en geven bedrijfseconomisch en fiscaal advies.</w:t>
      </w:r>
    </w:p>
    <w:p w14:paraId="7421C4C9" w14:textId="77777777" w:rsidR="00584B5A" w:rsidRPr="008C4302" w:rsidRDefault="00584B5A" w:rsidP="005F77F1">
      <w:pPr>
        <w:pStyle w:val="06Bodytekst"/>
        <w:rPr>
          <w:color w:val="FF0000"/>
          <w:highlight w:val="yellow"/>
        </w:rPr>
      </w:pPr>
    </w:p>
    <w:p w14:paraId="6B18754D" w14:textId="77777777" w:rsidR="00834F85" w:rsidRPr="008C4302" w:rsidRDefault="00834F85" w:rsidP="00CD3BB3">
      <w:pPr>
        <w:pStyle w:val="06Bodytekst"/>
        <w:rPr>
          <w:color w:val="FF0000"/>
          <w:highlight w:val="yellow"/>
        </w:rPr>
      </w:pPr>
    </w:p>
    <w:p w14:paraId="2458EF3B" w14:textId="77777777" w:rsidR="00834F85" w:rsidRPr="005E7225" w:rsidRDefault="00834F85" w:rsidP="00834F85">
      <w:pPr>
        <w:pStyle w:val="02Paragraafkop"/>
        <w:rPr>
          <w:color w:val="auto"/>
        </w:rPr>
      </w:pPr>
      <w:bookmarkStart w:id="3" w:name="_Toc148100246"/>
      <w:r w:rsidRPr="005E7225">
        <w:rPr>
          <w:color w:val="auto"/>
        </w:rPr>
        <w:t>Leeswijzer</w:t>
      </w:r>
      <w:bookmarkEnd w:id="3"/>
    </w:p>
    <w:p w14:paraId="40B8C040" w14:textId="6F0DC07C" w:rsidR="005F77F1" w:rsidRPr="005E7225" w:rsidRDefault="005F77F1" w:rsidP="005F77F1">
      <w:pPr>
        <w:pStyle w:val="06Bodytekst"/>
        <w:rPr>
          <w:color w:val="auto"/>
        </w:rPr>
      </w:pPr>
      <w:r w:rsidRPr="005E7225">
        <w:rPr>
          <w:color w:val="auto"/>
        </w:rPr>
        <w:t xml:space="preserve">In deze rapportage </w:t>
      </w:r>
      <w:r w:rsidR="00DD775A">
        <w:rPr>
          <w:color w:val="auto"/>
        </w:rPr>
        <w:t>komen</w:t>
      </w:r>
      <w:r w:rsidRPr="005E7225">
        <w:rPr>
          <w:color w:val="auto"/>
        </w:rPr>
        <w:t xml:space="preserve"> de financiële positie</w:t>
      </w:r>
      <w:r w:rsidR="00537553">
        <w:rPr>
          <w:color w:val="auto"/>
        </w:rPr>
        <w:t xml:space="preserve"> en</w:t>
      </w:r>
      <w:r w:rsidRPr="005E7225">
        <w:rPr>
          <w:color w:val="auto"/>
        </w:rPr>
        <w:t xml:space="preserve"> de bedrijfslasten</w:t>
      </w:r>
      <w:r w:rsidR="008A188B" w:rsidRPr="005E7225">
        <w:rPr>
          <w:color w:val="auto"/>
        </w:rPr>
        <w:t xml:space="preserve"> van de Nederlandse GGZ</w:t>
      </w:r>
      <w:r w:rsidR="00072CAE" w:rsidRPr="005E7225">
        <w:rPr>
          <w:color w:val="auto"/>
        </w:rPr>
        <w:t>-sector</w:t>
      </w:r>
      <w:r w:rsidRPr="005E7225">
        <w:rPr>
          <w:color w:val="auto"/>
        </w:rPr>
        <w:t xml:space="preserve"> in het jaar 20</w:t>
      </w:r>
      <w:r w:rsidR="005E7225" w:rsidRPr="005E7225">
        <w:rPr>
          <w:color w:val="auto"/>
        </w:rPr>
        <w:t>2</w:t>
      </w:r>
      <w:r w:rsidR="00045B31">
        <w:rPr>
          <w:color w:val="auto"/>
        </w:rPr>
        <w:t>2</w:t>
      </w:r>
      <w:r w:rsidRPr="005E7225">
        <w:rPr>
          <w:color w:val="auto"/>
        </w:rPr>
        <w:t xml:space="preserve"> </w:t>
      </w:r>
      <w:r w:rsidR="00D12433" w:rsidRPr="005E7225">
        <w:rPr>
          <w:color w:val="auto"/>
        </w:rPr>
        <w:t>aan bod</w:t>
      </w:r>
      <w:r w:rsidRPr="005E7225">
        <w:rPr>
          <w:color w:val="auto"/>
        </w:rPr>
        <w:t xml:space="preserve">. De financiële positie wordt beschreven aan de hand van het resultaat, de solvabiliteit en de liquiditeitspositie. De bedrijfslasten worden nader getypeerd aan de hand van de inkoopuitgaven en de personeelskosten. </w:t>
      </w:r>
    </w:p>
    <w:p w14:paraId="1039372C" w14:textId="77777777" w:rsidR="00A631BF" w:rsidRPr="005E7225" w:rsidRDefault="00A631BF" w:rsidP="005F77F1">
      <w:pPr>
        <w:pStyle w:val="06Bodytekst"/>
        <w:rPr>
          <w:color w:val="auto"/>
        </w:rPr>
      </w:pPr>
    </w:p>
    <w:p w14:paraId="0AB434FD" w14:textId="7A725BD0" w:rsidR="005F77F1" w:rsidRPr="005E7225" w:rsidRDefault="005F77F1" w:rsidP="005F77F1">
      <w:pPr>
        <w:pStyle w:val="06Bodytekst"/>
        <w:rPr>
          <w:color w:val="auto"/>
        </w:rPr>
      </w:pPr>
      <w:r w:rsidRPr="005E7225">
        <w:rPr>
          <w:color w:val="auto"/>
        </w:rPr>
        <w:t>Personeelskosten bestaan uit:</w:t>
      </w:r>
    </w:p>
    <w:p w14:paraId="10FD5D0B" w14:textId="77777777" w:rsidR="005F77F1" w:rsidRPr="005E7225" w:rsidRDefault="005F77F1" w:rsidP="005F77F1">
      <w:pPr>
        <w:pStyle w:val="06Bodytekst"/>
        <w:rPr>
          <w:color w:val="auto"/>
        </w:rPr>
      </w:pPr>
    </w:p>
    <w:p w14:paraId="3E618A4E" w14:textId="77777777" w:rsidR="005F77F1" w:rsidRPr="005E7225" w:rsidRDefault="005F77F1" w:rsidP="005F77F1">
      <w:pPr>
        <w:pStyle w:val="06Bodytekst"/>
        <w:rPr>
          <w:color w:val="auto"/>
        </w:rPr>
      </w:pPr>
      <w:r w:rsidRPr="005E7225">
        <w:rPr>
          <w:color w:val="auto"/>
        </w:rPr>
        <w:t>•</w:t>
      </w:r>
      <w:r w:rsidRPr="005E7225">
        <w:rPr>
          <w:color w:val="auto"/>
        </w:rPr>
        <w:tab/>
        <w:t>Salariskosten</w:t>
      </w:r>
    </w:p>
    <w:p w14:paraId="3F03953F" w14:textId="77777777" w:rsidR="005F77F1" w:rsidRPr="005E7225" w:rsidRDefault="005F77F1" w:rsidP="005F77F1">
      <w:pPr>
        <w:pStyle w:val="06Bodytekst"/>
        <w:rPr>
          <w:color w:val="auto"/>
        </w:rPr>
      </w:pPr>
      <w:r w:rsidRPr="005E7225">
        <w:rPr>
          <w:color w:val="auto"/>
        </w:rPr>
        <w:t>•</w:t>
      </w:r>
      <w:r w:rsidRPr="005E7225">
        <w:rPr>
          <w:color w:val="auto"/>
        </w:rPr>
        <w:tab/>
        <w:t>Sociale lasten</w:t>
      </w:r>
    </w:p>
    <w:p w14:paraId="07817399" w14:textId="77777777" w:rsidR="005F77F1" w:rsidRPr="005E7225" w:rsidRDefault="005F77F1" w:rsidP="005F77F1">
      <w:pPr>
        <w:pStyle w:val="06Bodytekst"/>
        <w:rPr>
          <w:color w:val="auto"/>
        </w:rPr>
      </w:pPr>
      <w:r w:rsidRPr="005E7225">
        <w:rPr>
          <w:color w:val="auto"/>
        </w:rPr>
        <w:t>•</w:t>
      </w:r>
      <w:r w:rsidRPr="005E7225">
        <w:rPr>
          <w:color w:val="auto"/>
        </w:rPr>
        <w:tab/>
        <w:t>Pensioenpremies</w:t>
      </w:r>
    </w:p>
    <w:p w14:paraId="1D4B5E36" w14:textId="77777777" w:rsidR="008F67B9" w:rsidRDefault="005F77F1" w:rsidP="005F77F1">
      <w:pPr>
        <w:pStyle w:val="06Bodytekst"/>
        <w:rPr>
          <w:color w:val="auto"/>
        </w:rPr>
      </w:pPr>
      <w:r w:rsidRPr="005E7225">
        <w:rPr>
          <w:color w:val="auto"/>
        </w:rPr>
        <w:t>•</w:t>
      </w:r>
      <w:r w:rsidRPr="005E7225">
        <w:rPr>
          <w:color w:val="auto"/>
        </w:rPr>
        <w:tab/>
      </w:r>
      <w:r w:rsidR="008F67B9" w:rsidRPr="005E7225">
        <w:rPr>
          <w:color w:val="auto"/>
        </w:rPr>
        <w:t>Kosten voor personeel niet in loondienst (PNIL)</w:t>
      </w:r>
    </w:p>
    <w:p w14:paraId="0C3C62AB" w14:textId="2BC0384E" w:rsidR="005F77F1" w:rsidRPr="005E7225" w:rsidRDefault="008F67B9" w:rsidP="005F77F1">
      <w:pPr>
        <w:pStyle w:val="06Bodytekst"/>
        <w:rPr>
          <w:color w:val="auto"/>
        </w:rPr>
      </w:pPr>
      <w:r w:rsidRPr="005E7225">
        <w:rPr>
          <w:color w:val="auto"/>
        </w:rPr>
        <w:t>•</w:t>
      </w:r>
      <w:r>
        <w:rPr>
          <w:color w:val="auto"/>
        </w:rPr>
        <w:tab/>
      </w:r>
      <w:r w:rsidR="005F77F1" w:rsidRPr="005E7225">
        <w:rPr>
          <w:color w:val="auto"/>
        </w:rPr>
        <w:t>Overige personeelskosten</w:t>
      </w:r>
    </w:p>
    <w:p w14:paraId="03A1E270" w14:textId="3A322931" w:rsidR="005F77F1" w:rsidRPr="005E7225" w:rsidRDefault="005F77F1" w:rsidP="005F77F1">
      <w:pPr>
        <w:pStyle w:val="06Bodytekst"/>
        <w:rPr>
          <w:color w:val="auto"/>
        </w:rPr>
      </w:pPr>
      <w:r w:rsidRPr="005E7225">
        <w:rPr>
          <w:color w:val="auto"/>
        </w:rPr>
        <w:tab/>
        <w:t xml:space="preserve"> </w:t>
      </w:r>
    </w:p>
    <w:p w14:paraId="74788B85" w14:textId="6CC6FECB" w:rsidR="005F77F1" w:rsidRPr="005E7225" w:rsidRDefault="005F77F1" w:rsidP="005F77F1">
      <w:pPr>
        <w:pStyle w:val="06Bodytekst"/>
        <w:rPr>
          <w:color w:val="FF0000"/>
        </w:rPr>
      </w:pPr>
      <w:r w:rsidRPr="005E7225">
        <w:rPr>
          <w:color w:val="auto"/>
        </w:rPr>
        <w:t>Waarvan de laatste twee in deze rapportage ook gerekend worden tot de inkoopuitgaven</w:t>
      </w:r>
      <w:r w:rsidRPr="005E7225">
        <w:rPr>
          <w:color w:val="FF0000"/>
        </w:rPr>
        <w:t>.</w:t>
      </w:r>
    </w:p>
    <w:p w14:paraId="4F8D6D4B" w14:textId="77777777" w:rsidR="005F77F1" w:rsidRPr="008C4302" w:rsidRDefault="005F77F1" w:rsidP="005F77F1">
      <w:pPr>
        <w:pStyle w:val="06Bodytekst"/>
        <w:rPr>
          <w:highlight w:val="yellow"/>
        </w:rPr>
      </w:pPr>
      <w:r w:rsidRPr="008C4302">
        <w:rPr>
          <w:highlight w:val="yellow"/>
        </w:rPr>
        <w:t> </w:t>
      </w:r>
    </w:p>
    <w:p w14:paraId="7FAE7E9D" w14:textId="77777777" w:rsidR="00584B5A" w:rsidRPr="008C4302" w:rsidRDefault="00584B5A">
      <w:pPr>
        <w:spacing w:after="160" w:line="259" w:lineRule="auto"/>
        <w:rPr>
          <w:color w:val="000000" w:themeColor="text1"/>
          <w:sz w:val="18"/>
          <w:highlight w:val="yellow"/>
        </w:rPr>
      </w:pPr>
      <w:r w:rsidRPr="008C4302">
        <w:rPr>
          <w:highlight w:val="yellow"/>
        </w:rPr>
        <w:br w:type="page"/>
      </w:r>
    </w:p>
    <w:p w14:paraId="7FA6B95F" w14:textId="4DF65F2F" w:rsidR="005F77F1" w:rsidRPr="00A32D18" w:rsidRDefault="005F77F1" w:rsidP="005F77F1">
      <w:pPr>
        <w:pStyle w:val="06Bodytekst"/>
        <w:rPr>
          <w:color w:val="auto"/>
        </w:rPr>
      </w:pPr>
      <w:r w:rsidRPr="00A32D18">
        <w:rPr>
          <w:color w:val="auto"/>
        </w:rPr>
        <w:lastRenderedPageBreak/>
        <w:t xml:space="preserve">De inkoopuitgaven omvatten alle uitgaven van een organisatie waar een externe factuur tegenover staat. Binnen de inkoopuitgaven wordt onderscheid gemaakt tussen: </w:t>
      </w:r>
    </w:p>
    <w:p w14:paraId="2E495DA8" w14:textId="77777777" w:rsidR="00CF0ED4" w:rsidRPr="00A32D18" w:rsidRDefault="00CF0ED4" w:rsidP="005F77F1">
      <w:pPr>
        <w:pStyle w:val="06Bodytekst"/>
        <w:rPr>
          <w:color w:val="auto"/>
        </w:rPr>
      </w:pPr>
    </w:p>
    <w:p w14:paraId="3A227DA1" w14:textId="78494783" w:rsidR="005F77F1" w:rsidRPr="00A32D18" w:rsidRDefault="005F77F1" w:rsidP="005F77F1">
      <w:pPr>
        <w:pStyle w:val="06Bodytekst"/>
        <w:rPr>
          <w:color w:val="auto"/>
        </w:rPr>
      </w:pPr>
      <w:r w:rsidRPr="00A32D18">
        <w:rPr>
          <w:color w:val="auto"/>
        </w:rPr>
        <w:t>Inkoopgerelateerde exploitatiekosten, waaronder:</w:t>
      </w:r>
    </w:p>
    <w:p w14:paraId="50E89418" w14:textId="77777777" w:rsidR="005F77F1" w:rsidRPr="00A32D18" w:rsidRDefault="005F77F1" w:rsidP="005F77F1">
      <w:pPr>
        <w:pStyle w:val="06Bodytekst"/>
        <w:rPr>
          <w:color w:val="auto"/>
        </w:rPr>
      </w:pPr>
    </w:p>
    <w:p w14:paraId="583A56BD" w14:textId="77777777" w:rsidR="005F77F1" w:rsidRPr="00A32D18" w:rsidRDefault="005F77F1" w:rsidP="005F77F1">
      <w:pPr>
        <w:pStyle w:val="06Bodytekst"/>
        <w:rPr>
          <w:color w:val="auto"/>
        </w:rPr>
      </w:pPr>
      <w:r w:rsidRPr="00A32D18">
        <w:rPr>
          <w:color w:val="auto"/>
        </w:rPr>
        <w:t>•</w:t>
      </w:r>
      <w:r w:rsidRPr="00A32D18">
        <w:rPr>
          <w:color w:val="auto"/>
        </w:rPr>
        <w:tab/>
        <w:t>Voedingsmiddelen en hotelmatige kosten</w:t>
      </w:r>
    </w:p>
    <w:p w14:paraId="511E74EA" w14:textId="77777777" w:rsidR="005F77F1" w:rsidRPr="00A32D18" w:rsidRDefault="005F77F1" w:rsidP="005F77F1">
      <w:pPr>
        <w:pStyle w:val="06Bodytekst"/>
        <w:rPr>
          <w:color w:val="auto"/>
        </w:rPr>
      </w:pPr>
      <w:r w:rsidRPr="00A32D18">
        <w:rPr>
          <w:color w:val="auto"/>
        </w:rPr>
        <w:t>•</w:t>
      </w:r>
      <w:r w:rsidRPr="00A32D18">
        <w:rPr>
          <w:color w:val="auto"/>
        </w:rPr>
        <w:tab/>
        <w:t>Algemene kosten</w:t>
      </w:r>
    </w:p>
    <w:p w14:paraId="18781033" w14:textId="649C0D5C" w:rsidR="005F77F1" w:rsidRPr="00A32D18" w:rsidRDefault="005F77F1" w:rsidP="005F77F1">
      <w:pPr>
        <w:pStyle w:val="06Bodytekst"/>
        <w:rPr>
          <w:color w:val="auto"/>
        </w:rPr>
      </w:pPr>
      <w:r w:rsidRPr="00A32D18">
        <w:rPr>
          <w:color w:val="auto"/>
        </w:rPr>
        <w:t>•</w:t>
      </w:r>
      <w:r w:rsidRPr="00A32D18">
        <w:rPr>
          <w:color w:val="auto"/>
        </w:rPr>
        <w:tab/>
        <w:t>Patiënt- en bewoner</w:t>
      </w:r>
      <w:r w:rsidR="00001BC7">
        <w:rPr>
          <w:color w:val="auto"/>
        </w:rPr>
        <w:t>s</w:t>
      </w:r>
      <w:r w:rsidRPr="00A32D18">
        <w:rPr>
          <w:color w:val="auto"/>
        </w:rPr>
        <w:t>gebonden kosten</w:t>
      </w:r>
    </w:p>
    <w:p w14:paraId="51122A2D" w14:textId="69AB60EC" w:rsidR="005F77F1" w:rsidRPr="00A32D18" w:rsidRDefault="005F77F1" w:rsidP="005F77F1">
      <w:pPr>
        <w:pStyle w:val="06Bodytekst"/>
        <w:rPr>
          <w:color w:val="auto"/>
        </w:rPr>
      </w:pPr>
      <w:r w:rsidRPr="00A32D18">
        <w:rPr>
          <w:color w:val="auto"/>
        </w:rPr>
        <w:t>•</w:t>
      </w:r>
      <w:r w:rsidRPr="00A32D18">
        <w:rPr>
          <w:color w:val="auto"/>
        </w:rPr>
        <w:tab/>
        <w:t>Onderhoud</w:t>
      </w:r>
      <w:r w:rsidR="002D71C5">
        <w:rPr>
          <w:color w:val="auto"/>
        </w:rPr>
        <w:t>-</w:t>
      </w:r>
      <w:r w:rsidRPr="00A32D18">
        <w:rPr>
          <w:color w:val="auto"/>
        </w:rPr>
        <w:t xml:space="preserve"> en energiekosten</w:t>
      </w:r>
    </w:p>
    <w:p w14:paraId="40E8DC49" w14:textId="77777777" w:rsidR="005F77F1" w:rsidRPr="00A32D18" w:rsidRDefault="005F77F1" w:rsidP="005F77F1">
      <w:pPr>
        <w:pStyle w:val="06Bodytekst"/>
        <w:rPr>
          <w:color w:val="auto"/>
        </w:rPr>
      </w:pPr>
      <w:r w:rsidRPr="00A32D18">
        <w:rPr>
          <w:color w:val="auto"/>
        </w:rPr>
        <w:t>•</w:t>
      </w:r>
      <w:r w:rsidRPr="00A32D18">
        <w:rPr>
          <w:color w:val="auto"/>
        </w:rPr>
        <w:tab/>
        <w:t xml:space="preserve">Huur en leasing </w:t>
      </w:r>
    </w:p>
    <w:p w14:paraId="4057B17D" w14:textId="77777777" w:rsidR="005F77F1" w:rsidRPr="00A32D18" w:rsidRDefault="005F77F1" w:rsidP="005F77F1">
      <w:pPr>
        <w:pStyle w:val="06Bodytekst"/>
        <w:rPr>
          <w:color w:val="auto"/>
        </w:rPr>
      </w:pPr>
      <w:r w:rsidRPr="00A32D18">
        <w:rPr>
          <w:color w:val="auto"/>
        </w:rPr>
        <w:t>•</w:t>
      </w:r>
      <w:r w:rsidRPr="00A32D18">
        <w:rPr>
          <w:color w:val="auto"/>
        </w:rPr>
        <w:tab/>
        <w:t xml:space="preserve">Personeel niet in loondienst </w:t>
      </w:r>
    </w:p>
    <w:p w14:paraId="7F40E17F" w14:textId="77777777" w:rsidR="005F77F1" w:rsidRPr="00A32D18" w:rsidRDefault="005F77F1" w:rsidP="005F77F1">
      <w:pPr>
        <w:pStyle w:val="06Bodytekst"/>
        <w:rPr>
          <w:color w:val="auto"/>
        </w:rPr>
      </w:pPr>
      <w:r w:rsidRPr="00A32D18">
        <w:rPr>
          <w:color w:val="auto"/>
        </w:rPr>
        <w:t>•</w:t>
      </w:r>
      <w:r w:rsidRPr="00A32D18">
        <w:rPr>
          <w:color w:val="auto"/>
        </w:rPr>
        <w:tab/>
        <w:t>Overige personeelskosten (grotendeels inkoopgerelateerd)</w:t>
      </w:r>
    </w:p>
    <w:p w14:paraId="7717C436" w14:textId="77777777" w:rsidR="005F77F1" w:rsidRPr="00A32D18" w:rsidRDefault="005F77F1" w:rsidP="005F77F1">
      <w:pPr>
        <w:pStyle w:val="06Bodytekst"/>
        <w:rPr>
          <w:color w:val="auto"/>
        </w:rPr>
      </w:pPr>
    </w:p>
    <w:p w14:paraId="02DE5F69" w14:textId="1D5858FF" w:rsidR="004E4F03" w:rsidRPr="007C5E64" w:rsidRDefault="002D685E" w:rsidP="005F77F1">
      <w:pPr>
        <w:pStyle w:val="06Bodytekst"/>
      </w:pPr>
      <w:r w:rsidRPr="005C3E73">
        <w:rPr>
          <w:color w:val="auto"/>
        </w:rPr>
        <w:t>Een indruk van de investeringen wordt verkregen door naar de afschrijvingskosten te kijken.</w:t>
      </w:r>
      <w:r w:rsidR="004E4F03" w:rsidRPr="007C5E64">
        <w:br w:type="page"/>
      </w:r>
    </w:p>
    <w:p w14:paraId="27FF02BB" w14:textId="77777777" w:rsidR="00EA4C4B" w:rsidRPr="007C5E64" w:rsidRDefault="00EA4C4B" w:rsidP="004E4F03">
      <w:pPr>
        <w:pStyle w:val="06Bodytekst"/>
      </w:pPr>
    </w:p>
    <w:p w14:paraId="7D1893A1" w14:textId="77777777" w:rsidR="00834F85" w:rsidRPr="00D74E60" w:rsidRDefault="00834F85" w:rsidP="00834F85">
      <w:pPr>
        <w:pStyle w:val="01HoofdstukTitel"/>
        <w:rPr>
          <w:color w:val="auto"/>
        </w:rPr>
      </w:pPr>
      <w:bookmarkStart w:id="4" w:name="_Toc148100247"/>
      <w:r w:rsidRPr="00D74E60">
        <w:rPr>
          <w:color w:val="auto"/>
        </w:rPr>
        <w:t>Financiële positie</w:t>
      </w:r>
      <w:bookmarkEnd w:id="4"/>
    </w:p>
    <w:p w14:paraId="4E94DE20" w14:textId="24C017B4" w:rsidR="005E76BE" w:rsidRDefault="005E76BE" w:rsidP="005E76BE">
      <w:pPr>
        <w:pStyle w:val="06Bodytekst"/>
      </w:pPr>
      <w:r w:rsidRPr="00FE14CE">
        <w:t xml:space="preserve">Uit de </w:t>
      </w:r>
      <w:r w:rsidR="00446C8F" w:rsidRPr="00FE14CE">
        <w:t>16</w:t>
      </w:r>
      <w:r w:rsidR="00802B5D">
        <w:t>6</w:t>
      </w:r>
      <w:r w:rsidRPr="00FE14CE">
        <w:t xml:space="preserve"> gepubliceerde jaarrekeningen over 202</w:t>
      </w:r>
      <w:r w:rsidR="00446C8F" w:rsidRPr="00FE14CE">
        <w:t>2</w:t>
      </w:r>
      <w:r w:rsidRPr="00FE14CE">
        <w:t xml:space="preserve"> blijkt dat de </w:t>
      </w:r>
      <w:r w:rsidR="00446C8F" w:rsidRPr="00FE14CE">
        <w:t>resultaten over 2022</w:t>
      </w:r>
      <w:r w:rsidRPr="00FE14CE">
        <w:t xml:space="preserve"> in de GGZ-sector </w:t>
      </w:r>
      <w:r w:rsidR="00446C8F" w:rsidRPr="00FE14CE">
        <w:t>onder druk staan</w:t>
      </w:r>
      <w:r w:rsidR="007849D4">
        <w:t>.</w:t>
      </w:r>
      <w:r w:rsidR="007849D4" w:rsidRPr="00FE14CE">
        <w:t xml:space="preserve"> </w:t>
      </w:r>
      <w:r w:rsidR="007849D4">
        <w:t>Dit beeld is ook zichtbaar in andere deelsectoren van de zorg</w:t>
      </w:r>
      <w:r w:rsidRPr="00FE14CE">
        <w:t xml:space="preserve">. De resultaatratio </w:t>
      </w:r>
      <w:r w:rsidR="007849D4">
        <w:t>is</w:t>
      </w:r>
      <w:r w:rsidR="007849D4" w:rsidRPr="00FE14CE">
        <w:t xml:space="preserve"> </w:t>
      </w:r>
      <w:r w:rsidRPr="00FE14CE">
        <w:t>in 202</w:t>
      </w:r>
      <w:r w:rsidR="00340935" w:rsidRPr="00FE14CE">
        <w:t>2</w:t>
      </w:r>
      <w:r w:rsidRPr="00FE14CE">
        <w:t xml:space="preserve"> </w:t>
      </w:r>
      <w:r w:rsidR="00446703">
        <w:t>scherp gedaald, en is</w:t>
      </w:r>
      <w:r w:rsidR="004A03C7">
        <w:t xml:space="preserve"> </w:t>
      </w:r>
      <w:r w:rsidR="00802B5D">
        <w:t>nog maar een derde</w:t>
      </w:r>
      <w:r w:rsidR="00802B5D" w:rsidRPr="00FE14CE">
        <w:t xml:space="preserve"> </w:t>
      </w:r>
      <w:r w:rsidR="00340935" w:rsidRPr="00FE14CE">
        <w:t>ten opzichte van 2021</w:t>
      </w:r>
      <w:r w:rsidRPr="00FE14CE">
        <w:t xml:space="preserve">. </w:t>
      </w:r>
      <w:r w:rsidR="00340935" w:rsidRPr="00FE14CE">
        <w:t xml:space="preserve">Desondanks zijn de liquiditeits- en vermogenspositie </w:t>
      </w:r>
      <w:r w:rsidR="00FE14CE" w:rsidRPr="00FE14CE">
        <w:t xml:space="preserve">in de sector gemiddeld genomen </w:t>
      </w:r>
      <w:r w:rsidR="007849D4">
        <w:t>stabiel gebleven</w:t>
      </w:r>
      <w:r w:rsidR="00FE14CE" w:rsidRPr="00FE14CE">
        <w:t>.</w:t>
      </w:r>
      <w:r w:rsidR="00FE14CE">
        <w:t xml:space="preserve"> </w:t>
      </w:r>
      <w:r>
        <w:t xml:space="preserve"> </w:t>
      </w:r>
    </w:p>
    <w:p w14:paraId="401A4A31" w14:textId="77777777" w:rsidR="005E76BE" w:rsidRDefault="005E76BE" w:rsidP="005E76BE">
      <w:pPr>
        <w:pStyle w:val="06Bodytekst"/>
      </w:pPr>
    </w:p>
    <w:p w14:paraId="624CA02A" w14:textId="77777777" w:rsidR="005E76BE" w:rsidRDefault="005E76BE" w:rsidP="005E76BE">
      <w:pPr>
        <w:pStyle w:val="06Bodytekst"/>
      </w:pPr>
    </w:p>
    <w:p w14:paraId="30A9597B" w14:textId="77777777" w:rsidR="005E76BE" w:rsidRDefault="005E76BE" w:rsidP="005E76BE">
      <w:pPr>
        <w:pStyle w:val="06Bodytekst"/>
      </w:pPr>
    </w:p>
    <w:p w14:paraId="6BDA7E93" w14:textId="64E0C90E" w:rsidR="005E76BE" w:rsidRDefault="005E76BE" w:rsidP="005E76BE">
      <w:pPr>
        <w:pStyle w:val="Bijschrift"/>
        <w:keepNext/>
        <w:rPr>
          <w:color w:val="000000" w:themeColor="text1"/>
        </w:rPr>
      </w:pPr>
      <w:r>
        <w:rPr>
          <w:color w:val="000000" w:themeColor="text1"/>
        </w:rPr>
        <w:t xml:space="preserve">Figuur </w:t>
      </w:r>
      <w:r>
        <w:rPr>
          <w:color w:val="000000" w:themeColor="text1"/>
        </w:rPr>
        <w:fldChar w:fldCharType="begin"/>
      </w:r>
      <w:r>
        <w:rPr>
          <w:color w:val="000000" w:themeColor="text1"/>
        </w:rPr>
        <w:instrText xml:space="preserve"> SEQ Figuur \* ARABIC </w:instrText>
      </w:r>
      <w:r>
        <w:rPr>
          <w:color w:val="000000" w:themeColor="text1"/>
        </w:rPr>
        <w:fldChar w:fldCharType="separate"/>
      </w:r>
      <w:r w:rsidR="00B50403">
        <w:rPr>
          <w:noProof/>
          <w:color w:val="000000" w:themeColor="text1"/>
        </w:rPr>
        <w:t>1</w:t>
      </w:r>
      <w:r>
        <w:rPr>
          <w:color w:val="000000" w:themeColor="text1"/>
        </w:rPr>
        <w:fldChar w:fldCharType="end"/>
      </w:r>
      <w:r>
        <w:rPr>
          <w:color w:val="000000" w:themeColor="text1"/>
        </w:rPr>
        <w:t xml:space="preserve"> Financiële kengetallen GGZ-sector 202</w:t>
      </w:r>
      <w:r w:rsidR="0025085F">
        <w:rPr>
          <w:color w:val="000000" w:themeColor="text1"/>
        </w:rPr>
        <w:t>2</w:t>
      </w:r>
    </w:p>
    <w:tbl>
      <w:tblPr>
        <w:tblStyle w:val="Tabelraster"/>
        <w:tblW w:w="0" w:type="auto"/>
        <w:tblLook w:val="04A0" w:firstRow="1" w:lastRow="0" w:firstColumn="1" w:lastColumn="0" w:noHBand="0" w:noVBand="1"/>
      </w:tblPr>
      <w:tblGrid>
        <w:gridCol w:w="3544"/>
        <w:gridCol w:w="1530"/>
        <w:gridCol w:w="1531"/>
        <w:gridCol w:w="1531"/>
      </w:tblGrid>
      <w:tr w:rsidR="005E76BE" w14:paraId="0FD491E8" w14:textId="77777777" w:rsidTr="005E76BE">
        <w:trPr>
          <w:cnfStyle w:val="100000000000" w:firstRow="1" w:lastRow="0" w:firstColumn="0" w:lastColumn="0" w:oddVBand="0" w:evenVBand="0" w:oddHBand="0" w:evenHBand="0" w:firstRowFirstColumn="0" w:firstRowLastColumn="0" w:lastRowFirstColumn="0" w:lastRowLastColumn="0"/>
        </w:trPr>
        <w:tc>
          <w:tcPr>
            <w:tcW w:w="3544" w:type="dxa"/>
            <w:tcBorders>
              <w:top w:val="nil"/>
              <w:left w:val="nil"/>
              <w:bottom w:val="single" w:sz="8" w:space="0" w:color="auto"/>
              <w:right w:val="nil"/>
            </w:tcBorders>
          </w:tcPr>
          <w:p w14:paraId="3836C4C4" w14:textId="77777777" w:rsidR="005E76BE" w:rsidRDefault="005E76BE">
            <w:pPr>
              <w:pStyle w:val="06Bodytekst"/>
            </w:pPr>
          </w:p>
        </w:tc>
        <w:tc>
          <w:tcPr>
            <w:tcW w:w="1530" w:type="dxa"/>
            <w:tcBorders>
              <w:top w:val="nil"/>
              <w:left w:val="nil"/>
              <w:bottom w:val="single" w:sz="8" w:space="0" w:color="auto"/>
              <w:right w:val="nil"/>
            </w:tcBorders>
            <w:hideMark/>
          </w:tcPr>
          <w:p w14:paraId="28275451" w14:textId="77777777" w:rsidR="005E76BE" w:rsidRDefault="005E76BE">
            <w:pPr>
              <w:pStyle w:val="06Bodytekst"/>
            </w:pPr>
            <w:r>
              <w:t>Norm</w:t>
            </w:r>
          </w:p>
        </w:tc>
        <w:tc>
          <w:tcPr>
            <w:tcW w:w="1531" w:type="dxa"/>
            <w:tcBorders>
              <w:top w:val="nil"/>
              <w:left w:val="nil"/>
              <w:bottom w:val="single" w:sz="8" w:space="0" w:color="auto"/>
              <w:right w:val="nil"/>
            </w:tcBorders>
            <w:hideMark/>
          </w:tcPr>
          <w:p w14:paraId="07DA7B59" w14:textId="1034EBF9" w:rsidR="005E76BE" w:rsidRDefault="005E76BE">
            <w:pPr>
              <w:pStyle w:val="06Bodytekst"/>
            </w:pPr>
            <w:r>
              <w:t>202</w:t>
            </w:r>
            <w:r w:rsidR="001F7298">
              <w:t>2</w:t>
            </w:r>
          </w:p>
        </w:tc>
        <w:tc>
          <w:tcPr>
            <w:tcW w:w="1531" w:type="dxa"/>
            <w:tcBorders>
              <w:top w:val="nil"/>
              <w:left w:val="nil"/>
              <w:bottom w:val="single" w:sz="8" w:space="0" w:color="auto"/>
              <w:right w:val="nil"/>
            </w:tcBorders>
            <w:hideMark/>
          </w:tcPr>
          <w:p w14:paraId="63BAC997" w14:textId="0243ADF2" w:rsidR="005E76BE" w:rsidRDefault="005E76BE">
            <w:pPr>
              <w:pStyle w:val="06Bodytekst"/>
            </w:pPr>
            <w:r>
              <w:t>202</w:t>
            </w:r>
            <w:r w:rsidR="001F7298">
              <w:t>1</w:t>
            </w:r>
          </w:p>
        </w:tc>
      </w:tr>
      <w:tr w:rsidR="005E76BE" w14:paraId="63808629" w14:textId="77777777" w:rsidTr="005E76BE">
        <w:tc>
          <w:tcPr>
            <w:tcW w:w="3544" w:type="dxa"/>
            <w:tcBorders>
              <w:top w:val="single" w:sz="8" w:space="0" w:color="auto"/>
              <w:left w:val="nil"/>
              <w:bottom w:val="nil"/>
              <w:right w:val="nil"/>
            </w:tcBorders>
            <w:hideMark/>
          </w:tcPr>
          <w:p w14:paraId="68EE21E8" w14:textId="77777777" w:rsidR="005E76BE" w:rsidRDefault="005E76BE">
            <w:pPr>
              <w:pStyle w:val="06Bodytekst"/>
            </w:pPr>
            <w:r>
              <w:rPr>
                <w:b/>
              </w:rPr>
              <w:t>Resultaat</w:t>
            </w:r>
            <w:r>
              <w:br/>
              <w:t>Totaal netto resultaat (x € 1 mln.)</w:t>
            </w:r>
          </w:p>
          <w:p w14:paraId="1297BD11" w14:textId="77777777" w:rsidR="005E76BE" w:rsidRDefault="005E76BE">
            <w:pPr>
              <w:pStyle w:val="06Bodytekst"/>
            </w:pPr>
            <w:r>
              <w:t>Resultaatratio</w:t>
            </w:r>
          </w:p>
        </w:tc>
        <w:tc>
          <w:tcPr>
            <w:tcW w:w="1530" w:type="dxa"/>
            <w:tcBorders>
              <w:top w:val="single" w:sz="8" w:space="0" w:color="auto"/>
              <w:left w:val="nil"/>
              <w:bottom w:val="nil"/>
              <w:right w:val="nil"/>
            </w:tcBorders>
          </w:tcPr>
          <w:p w14:paraId="623CEB59" w14:textId="77777777" w:rsidR="005E76BE" w:rsidRDefault="005E76BE">
            <w:pPr>
              <w:pStyle w:val="06Bodytekst"/>
            </w:pPr>
          </w:p>
        </w:tc>
        <w:tc>
          <w:tcPr>
            <w:tcW w:w="1531" w:type="dxa"/>
            <w:tcBorders>
              <w:top w:val="single" w:sz="8" w:space="0" w:color="auto"/>
              <w:left w:val="nil"/>
              <w:bottom w:val="nil"/>
              <w:right w:val="nil"/>
            </w:tcBorders>
            <w:hideMark/>
          </w:tcPr>
          <w:p w14:paraId="561D9BAF" w14:textId="47EC19F8" w:rsidR="005E76BE" w:rsidRDefault="005E76BE">
            <w:pPr>
              <w:pStyle w:val="06Bodytekst"/>
            </w:pPr>
            <w:r>
              <w:br/>
            </w:r>
            <w:r w:rsidR="00EE4C8A">
              <w:t>6</w:t>
            </w:r>
            <w:r w:rsidR="00AF616D">
              <w:t>6</w:t>
            </w:r>
            <w:r>
              <w:br/>
            </w:r>
            <w:r w:rsidR="00802B5D">
              <w:t>0,8</w:t>
            </w:r>
            <w:r>
              <w:t>%</w:t>
            </w:r>
          </w:p>
        </w:tc>
        <w:tc>
          <w:tcPr>
            <w:tcW w:w="1531" w:type="dxa"/>
            <w:tcBorders>
              <w:top w:val="single" w:sz="8" w:space="0" w:color="auto"/>
              <w:left w:val="nil"/>
              <w:bottom w:val="nil"/>
              <w:right w:val="nil"/>
            </w:tcBorders>
            <w:hideMark/>
          </w:tcPr>
          <w:p w14:paraId="48EA670F" w14:textId="1B872CE2" w:rsidR="005E76BE" w:rsidRDefault="005E76BE">
            <w:pPr>
              <w:pStyle w:val="06Bodytekst"/>
            </w:pPr>
            <w:r>
              <w:br/>
            </w:r>
            <w:r w:rsidR="00C93008">
              <w:t>21</w:t>
            </w:r>
            <w:r w:rsidR="00EE4C8A">
              <w:t>3</w:t>
            </w:r>
            <w:r>
              <w:br/>
            </w:r>
            <w:r w:rsidR="001F7298">
              <w:t>2,</w:t>
            </w:r>
            <w:r w:rsidR="00802B5D">
              <w:t>6</w:t>
            </w:r>
            <w:r>
              <w:t>%</w:t>
            </w:r>
          </w:p>
        </w:tc>
      </w:tr>
      <w:tr w:rsidR="005E76BE" w14:paraId="22C54E2E" w14:textId="77777777" w:rsidTr="005E76BE">
        <w:tc>
          <w:tcPr>
            <w:tcW w:w="3544" w:type="dxa"/>
            <w:hideMark/>
          </w:tcPr>
          <w:p w14:paraId="54A7B952" w14:textId="77777777" w:rsidR="005E76BE" w:rsidRDefault="005E76BE">
            <w:pPr>
              <w:pStyle w:val="06Bodytekst"/>
              <w:rPr>
                <w:b/>
              </w:rPr>
            </w:pPr>
            <w:r>
              <w:rPr>
                <w:b/>
              </w:rPr>
              <w:t>Solvabiliteit</w:t>
            </w:r>
            <w:r>
              <w:rPr>
                <w:b/>
              </w:rPr>
              <w:br/>
            </w:r>
            <w:r>
              <w:t>Totaal eigen vermogen (x € 1 mln.)</w:t>
            </w:r>
            <w:r>
              <w:br/>
              <w:t>Omzetratio</w:t>
            </w:r>
          </w:p>
        </w:tc>
        <w:tc>
          <w:tcPr>
            <w:tcW w:w="1530" w:type="dxa"/>
            <w:hideMark/>
          </w:tcPr>
          <w:p w14:paraId="417D643E" w14:textId="17552E2D" w:rsidR="005E76BE" w:rsidRDefault="005E76BE">
            <w:pPr>
              <w:pStyle w:val="06Bodytekst"/>
            </w:pPr>
            <w:r>
              <w:br/>
            </w:r>
            <w:r>
              <w:br/>
              <w:t>15%</w:t>
            </w:r>
          </w:p>
        </w:tc>
        <w:tc>
          <w:tcPr>
            <w:tcW w:w="1531" w:type="dxa"/>
            <w:hideMark/>
          </w:tcPr>
          <w:p w14:paraId="027B761E" w14:textId="26BF16C6" w:rsidR="005E76BE" w:rsidRDefault="005E76BE">
            <w:pPr>
              <w:pStyle w:val="06Bodytekst"/>
            </w:pPr>
            <w:r>
              <w:br/>
            </w:r>
            <w:r w:rsidR="004362C4">
              <w:t>2.228</w:t>
            </w:r>
            <w:r>
              <w:br/>
            </w:r>
            <w:r w:rsidR="004362C4">
              <w:t>25,9</w:t>
            </w:r>
            <w:r>
              <w:t>%</w:t>
            </w:r>
          </w:p>
        </w:tc>
        <w:tc>
          <w:tcPr>
            <w:tcW w:w="1531" w:type="dxa"/>
            <w:hideMark/>
          </w:tcPr>
          <w:p w14:paraId="556F1D56" w14:textId="3C174AC0" w:rsidR="005E76BE" w:rsidRDefault="005E76BE">
            <w:pPr>
              <w:pStyle w:val="06Bodytekst"/>
            </w:pPr>
            <w:r>
              <w:br/>
            </w:r>
            <w:r w:rsidR="004362C4">
              <w:t>2.144</w:t>
            </w:r>
            <w:r w:rsidR="00310BF3">
              <w:t xml:space="preserve"> </w:t>
            </w:r>
            <w:r>
              <w:br/>
              <w:t>2</w:t>
            </w:r>
            <w:r w:rsidR="00310BF3">
              <w:t>5,9</w:t>
            </w:r>
            <w:r>
              <w:t>%</w:t>
            </w:r>
          </w:p>
        </w:tc>
      </w:tr>
      <w:tr w:rsidR="00577AD8" w14:paraId="6B1CD87E" w14:textId="77777777" w:rsidTr="005E76BE">
        <w:tc>
          <w:tcPr>
            <w:tcW w:w="3544" w:type="dxa"/>
          </w:tcPr>
          <w:p w14:paraId="720F1421" w14:textId="3C3AE455" w:rsidR="00577AD8" w:rsidRPr="009D217D" w:rsidRDefault="00577AD8">
            <w:pPr>
              <w:pStyle w:val="06Bodytekst"/>
              <w:rPr>
                <w:bCs/>
              </w:rPr>
            </w:pPr>
            <w:r w:rsidRPr="009D217D">
              <w:rPr>
                <w:bCs/>
              </w:rPr>
              <w:t>Loan to value</w:t>
            </w:r>
          </w:p>
        </w:tc>
        <w:tc>
          <w:tcPr>
            <w:tcW w:w="1530" w:type="dxa"/>
          </w:tcPr>
          <w:p w14:paraId="47841F56" w14:textId="3C0CA7B0" w:rsidR="00577AD8" w:rsidRDefault="00680316">
            <w:pPr>
              <w:pStyle w:val="06Bodytekst"/>
            </w:pPr>
            <w:r>
              <w:t>&lt;</w:t>
            </w:r>
            <w:r w:rsidR="00D27307">
              <w:t xml:space="preserve"> 75%</w:t>
            </w:r>
          </w:p>
        </w:tc>
        <w:tc>
          <w:tcPr>
            <w:tcW w:w="1531" w:type="dxa"/>
          </w:tcPr>
          <w:p w14:paraId="32B30F11" w14:textId="3ACC0667" w:rsidR="00577AD8" w:rsidRDefault="006B7E73">
            <w:pPr>
              <w:pStyle w:val="06Bodytekst"/>
            </w:pPr>
            <w:r>
              <w:t>51,3</w:t>
            </w:r>
            <w:r w:rsidR="00D27307">
              <w:t>%</w:t>
            </w:r>
          </w:p>
        </w:tc>
        <w:tc>
          <w:tcPr>
            <w:tcW w:w="1531" w:type="dxa"/>
          </w:tcPr>
          <w:p w14:paraId="1A55DD70" w14:textId="42D6D101" w:rsidR="00577AD8" w:rsidRDefault="00D27307">
            <w:pPr>
              <w:pStyle w:val="06Bodytekst"/>
            </w:pPr>
            <w:r>
              <w:t>5</w:t>
            </w:r>
            <w:r w:rsidR="006B7E73">
              <w:t>5,3</w:t>
            </w:r>
            <w:r>
              <w:t>%</w:t>
            </w:r>
          </w:p>
        </w:tc>
      </w:tr>
      <w:tr w:rsidR="005E76BE" w14:paraId="62C1D99D" w14:textId="77777777" w:rsidTr="005E76BE">
        <w:tc>
          <w:tcPr>
            <w:tcW w:w="3544" w:type="dxa"/>
            <w:hideMark/>
          </w:tcPr>
          <w:p w14:paraId="0654EE57" w14:textId="77777777" w:rsidR="005E76BE" w:rsidRDefault="005E76BE">
            <w:pPr>
              <w:pStyle w:val="06Bodytekst"/>
              <w:rPr>
                <w:b/>
              </w:rPr>
            </w:pPr>
            <w:r>
              <w:rPr>
                <w:b/>
              </w:rPr>
              <w:t>Liquiditeit</w:t>
            </w:r>
            <w:r>
              <w:rPr>
                <w:b/>
              </w:rPr>
              <w:br/>
            </w:r>
            <w:r>
              <w:t>Liquiditeitsratio</w:t>
            </w:r>
          </w:p>
        </w:tc>
        <w:tc>
          <w:tcPr>
            <w:tcW w:w="1530" w:type="dxa"/>
            <w:hideMark/>
          </w:tcPr>
          <w:p w14:paraId="034838DB" w14:textId="77777777" w:rsidR="005E76BE" w:rsidRDefault="005E76BE">
            <w:pPr>
              <w:pStyle w:val="06Bodytekst"/>
            </w:pPr>
            <w:r>
              <w:br/>
              <w:t>1,0</w:t>
            </w:r>
          </w:p>
        </w:tc>
        <w:tc>
          <w:tcPr>
            <w:tcW w:w="1531" w:type="dxa"/>
            <w:hideMark/>
          </w:tcPr>
          <w:p w14:paraId="04B9D459" w14:textId="77777777" w:rsidR="005E76BE" w:rsidRDefault="005E76BE">
            <w:pPr>
              <w:pStyle w:val="06Bodytekst"/>
            </w:pPr>
            <w:r>
              <w:br/>
              <w:t>1,6</w:t>
            </w:r>
          </w:p>
        </w:tc>
        <w:tc>
          <w:tcPr>
            <w:tcW w:w="1531" w:type="dxa"/>
            <w:hideMark/>
          </w:tcPr>
          <w:p w14:paraId="681402F2" w14:textId="07B94D66" w:rsidR="005E76BE" w:rsidRDefault="005E76BE">
            <w:pPr>
              <w:pStyle w:val="06Bodytekst"/>
            </w:pPr>
            <w:r>
              <w:br/>
              <w:t>1,</w:t>
            </w:r>
            <w:r w:rsidR="00310BF3">
              <w:t>6</w:t>
            </w:r>
          </w:p>
        </w:tc>
      </w:tr>
      <w:tr w:rsidR="005E76BE" w14:paraId="5C1A069C" w14:textId="77777777" w:rsidTr="005E76BE">
        <w:tc>
          <w:tcPr>
            <w:tcW w:w="3544" w:type="dxa"/>
            <w:tcBorders>
              <w:top w:val="single" w:sz="4" w:space="0" w:color="auto"/>
              <w:left w:val="nil"/>
              <w:bottom w:val="nil"/>
              <w:right w:val="nil"/>
            </w:tcBorders>
          </w:tcPr>
          <w:p w14:paraId="41C6598A" w14:textId="77777777" w:rsidR="005E76BE" w:rsidRDefault="005E76BE">
            <w:pPr>
              <w:pStyle w:val="06Bodytekst"/>
              <w:rPr>
                <w:highlight w:val="yellow"/>
              </w:rPr>
            </w:pPr>
          </w:p>
          <w:p w14:paraId="7165E67C" w14:textId="77777777" w:rsidR="005E76BE" w:rsidRDefault="005E76BE">
            <w:pPr>
              <w:pStyle w:val="06Bodytekst"/>
              <w:rPr>
                <w:highlight w:val="yellow"/>
              </w:rPr>
            </w:pPr>
          </w:p>
        </w:tc>
        <w:tc>
          <w:tcPr>
            <w:tcW w:w="1530" w:type="dxa"/>
            <w:tcBorders>
              <w:top w:val="single" w:sz="4" w:space="0" w:color="auto"/>
              <w:left w:val="nil"/>
              <w:bottom w:val="nil"/>
              <w:right w:val="nil"/>
            </w:tcBorders>
          </w:tcPr>
          <w:p w14:paraId="6D481DB4" w14:textId="77777777" w:rsidR="005E76BE" w:rsidRDefault="005E76BE">
            <w:pPr>
              <w:pStyle w:val="06Bodytekst"/>
              <w:rPr>
                <w:highlight w:val="yellow"/>
              </w:rPr>
            </w:pPr>
          </w:p>
        </w:tc>
        <w:tc>
          <w:tcPr>
            <w:tcW w:w="1531" w:type="dxa"/>
            <w:tcBorders>
              <w:top w:val="single" w:sz="4" w:space="0" w:color="auto"/>
              <w:left w:val="nil"/>
              <w:bottom w:val="nil"/>
              <w:right w:val="nil"/>
            </w:tcBorders>
          </w:tcPr>
          <w:p w14:paraId="02A86992" w14:textId="77777777" w:rsidR="005E76BE" w:rsidRDefault="005E76BE">
            <w:pPr>
              <w:pStyle w:val="06Bodytekst"/>
              <w:rPr>
                <w:highlight w:val="yellow"/>
              </w:rPr>
            </w:pPr>
          </w:p>
        </w:tc>
        <w:tc>
          <w:tcPr>
            <w:tcW w:w="1531" w:type="dxa"/>
            <w:tcBorders>
              <w:top w:val="single" w:sz="4" w:space="0" w:color="auto"/>
              <w:left w:val="nil"/>
              <w:bottom w:val="nil"/>
              <w:right w:val="nil"/>
            </w:tcBorders>
          </w:tcPr>
          <w:p w14:paraId="11E6BE2A" w14:textId="77777777" w:rsidR="005E76BE" w:rsidRDefault="005E76BE">
            <w:pPr>
              <w:pStyle w:val="06Bodytekst"/>
              <w:rPr>
                <w:highlight w:val="yellow"/>
              </w:rPr>
            </w:pPr>
          </w:p>
        </w:tc>
      </w:tr>
    </w:tbl>
    <w:p w14:paraId="6D7C65BC" w14:textId="77777777" w:rsidR="005E76BE" w:rsidRDefault="005E76BE" w:rsidP="005E76BE">
      <w:pPr>
        <w:pStyle w:val="02Paragraafkop"/>
        <w:numPr>
          <w:ilvl w:val="1"/>
          <w:numId w:val="19"/>
        </w:numPr>
      </w:pPr>
      <w:bookmarkStart w:id="5" w:name="_Toc516563325"/>
      <w:bookmarkStart w:id="6" w:name="_Toc148100248"/>
      <w:r>
        <w:t>Resultaat</w:t>
      </w:r>
      <w:bookmarkEnd w:id="5"/>
      <w:bookmarkEnd w:id="6"/>
    </w:p>
    <w:p w14:paraId="2ECB7DD0" w14:textId="7FFA6271" w:rsidR="00A05565" w:rsidRDefault="005E76BE" w:rsidP="00A05565">
      <w:pPr>
        <w:pStyle w:val="06Bodytekst"/>
        <w:rPr>
          <w:color w:val="auto"/>
        </w:rPr>
      </w:pPr>
      <w:r>
        <w:t xml:space="preserve">De resultaatratio van de onderzochte GGZ-organisaties is </w:t>
      </w:r>
      <w:r w:rsidR="00AF616D">
        <w:t>0,8</w:t>
      </w:r>
      <w:r>
        <w:t>%</w:t>
      </w:r>
      <w:r w:rsidR="001F7298">
        <w:t xml:space="preserve"> over 2022. De resultaatratio is daarmee</w:t>
      </w:r>
      <w:r>
        <w:t xml:space="preserve"> </w:t>
      </w:r>
      <w:r w:rsidR="00AF616D">
        <w:t>nog maar ruim een derde</w:t>
      </w:r>
      <w:r>
        <w:t xml:space="preserve"> ten opzichte van 202</w:t>
      </w:r>
      <w:r w:rsidR="00E30CA7">
        <w:t>1 (2,</w:t>
      </w:r>
      <w:r w:rsidR="00AF616D">
        <w:t>6</w:t>
      </w:r>
      <w:r w:rsidR="00E30CA7">
        <w:t xml:space="preserve">%). </w:t>
      </w:r>
      <w:r>
        <w:t xml:space="preserve">Het totale resultaat van de </w:t>
      </w:r>
      <w:r w:rsidR="00502B3D">
        <w:t>sector</w:t>
      </w:r>
      <w:r>
        <w:t xml:space="preserve"> is ge</w:t>
      </w:r>
      <w:r w:rsidR="00E07CD6">
        <w:t>daald</w:t>
      </w:r>
      <w:r>
        <w:t xml:space="preserve"> van € </w:t>
      </w:r>
      <w:r w:rsidR="00E07CD6">
        <w:t>21</w:t>
      </w:r>
      <w:r w:rsidR="00AF616D">
        <w:t>3</w:t>
      </w:r>
      <w:r>
        <w:t xml:space="preserve"> </w:t>
      </w:r>
      <w:r w:rsidR="001018A2">
        <w:t>mln.</w:t>
      </w:r>
      <w:r>
        <w:t xml:space="preserve"> in 202</w:t>
      </w:r>
      <w:r w:rsidR="00E07CD6">
        <w:t>1</w:t>
      </w:r>
      <w:r>
        <w:t xml:space="preserve"> naar € </w:t>
      </w:r>
      <w:r w:rsidR="00AF616D">
        <w:t>66</w:t>
      </w:r>
      <w:r>
        <w:t xml:space="preserve"> </w:t>
      </w:r>
      <w:r w:rsidR="001018A2">
        <w:t>mln.</w:t>
      </w:r>
      <w:r>
        <w:t xml:space="preserve"> in 202</w:t>
      </w:r>
      <w:r w:rsidR="00E07CD6">
        <w:t>2</w:t>
      </w:r>
      <w:r>
        <w:t xml:space="preserve">. </w:t>
      </w:r>
      <w:r w:rsidR="00711325">
        <w:t>De</w:t>
      </w:r>
      <w:r>
        <w:t xml:space="preserve"> GGZ-sector</w:t>
      </w:r>
      <w:r w:rsidR="00711325">
        <w:t xml:space="preserve"> kampt</w:t>
      </w:r>
      <w:r>
        <w:t xml:space="preserve">, net als de overige sectoren in de zorg, met stijgende personeelskosten vanwege </w:t>
      </w:r>
      <w:r w:rsidR="007849D4">
        <w:t>krapte op de arbeidsmarkt</w:t>
      </w:r>
      <w:r>
        <w:t>, een hoog ziekteverzuim en de inzet van uitzendkrachten</w:t>
      </w:r>
      <w:r w:rsidR="007849D4">
        <w:t xml:space="preserve"> en ZZP-ers</w:t>
      </w:r>
      <w:r>
        <w:t>. Dit legt een zware druk op exploitatieresultaten</w:t>
      </w:r>
      <w:r w:rsidR="0021503C">
        <w:t xml:space="preserve">. </w:t>
      </w:r>
      <w:r w:rsidR="00A05565">
        <w:rPr>
          <w:color w:val="auto"/>
        </w:rPr>
        <w:t xml:space="preserve">Daar komt bij dat </w:t>
      </w:r>
      <w:r w:rsidR="007849D4">
        <w:rPr>
          <w:color w:val="auto"/>
        </w:rPr>
        <w:t>GGZ-</w:t>
      </w:r>
      <w:r w:rsidR="00A05565">
        <w:rPr>
          <w:color w:val="auto"/>
        </w:rPr>
        <w:t xml:space="preserve">organisaties </w:t>
      </w:r>
      <w:r w:rsidR="00BC4DF5">
        <w:rPr>
          <w:color w:val="auto"/>
        </w:rPr>
        <w:t xml:space="preserve">ook </w:t>
      </w:r>
      <w:r w:rsidR="004E4AC5">
        <w:rPr>
          <w:color w:val="auto"/>
        </w:rPr>
        <w:t xml:space="preserve">in 2022 </w:t>
      </w:r>
      <w:r w:rsidR="00A05565">
        <w:rPr>
          <w:color w:val="auto"/>
        </w:rPr>
        <w:t xml:space="preserve">te maken </w:t>
      </w:r>
      <w:r w:rsidR="004E4AC5">
        <w:rPr>
          <w:color w:val="auto"/>
        </w:rPr>
        <w:t xml:space="preserve">hadden </w:t>
      </w:r>
      <w:r w:rsidR="00A05565">
        <w:rPr>
          <w:color w:val="auto"/>
        </w:rPr>
        <w:t xml:space="preserve">met de gevolgen van corona. In </w:t>
      </w:r>
      <w:r w:rsidR="007849D4">
        <w:rPr>
          <w:color w:val="auto"/>
        </w:rPr>
        <w:t xml:space="preserve">2021 </w:t>
      </w:r>
      <w:r w:rsidR="00A05565">
        <w:rPr>
          <w:color w:val="auto"/>
        </w:rPr>
        <w:t xml:space="preserve">is de financiële schade daarvan nog voor een belangrijk deel gecompenseerd via diverse regelingen. Die mogelijkheden zijn in </w:t>
      </w:r>
      <w:r w:rsidR="007849D4">
        <w:rPr>
          <w:color w:val="auto"/>
        </w:rPr>
        <w:t xml:space="preserve">2022 </w:t>
      </w:r>
      <w:r w:rsidR="000C0B3F">
        <w:rPr>
          <w:color w:val="auto"/>
        </w:rPr>
        <w:t>minder</w:t>
      </w:r>
      <w:r w:rsidR="00A05565">
        <w:rPr>
          <w:color w:val="auto"/>
        </w:rPr>
        <w:t xml:space="preserve"> aan de orde, terwijl de financiële gevolgen, bijvoorbeeld de kosten van aanhoudend hoog ziekteverzuim, nog altijd merkbaar zijn.</w:t>
      </w:r>
    </w:p>
    <w:p w14:paraId="7935E686" w14:textId="77777777" w:rsidR="005E76BE" w:rsidRDefault="005E76BE" w:rsidP="005E76BE">
      <w:pPr>
        <w:pStyle w:val="06Bodytekst"/>
        <w:rPr>
          <w:highlight w:val="yellow"/>
        </w:rPr>
      </w:pPr>
    </w:p>
    <w:p w14:paraId="23D99FE3" w14:textId="5130E8F2" w:rsidR="005E76BE" w:rsidRDefault="005E76BE" w:rsidP="00315F2D">
      <w:pPr>
        <w:pStyle w:val="06Bodytekst"/>
      </w:pPr>
      <w:r>
        <w:t xml:space="preserve">Het aantal </w:t>
      </w:r>
      <w:r w:rsidR="007849D4">
        <w:t>GGZ-</w:t>
      </w:r>
      <w:r>
        <w:t xml:space="preserve">organisaties met een negatief resultaat is </w:t>
      </w:r>
      <w:r w:rsidR="00E07CD6">
        <w:t>gestegen</w:t>
      </w:r>
      <w:r>
        <w:t xml:space="preserve"> ten opzichte van 202</w:t>
      </w:r>
      <w:r w:rsidR="00E07CD6">
        <w:t>1</w:t>
      </w:r>
      <w:r>
        <w:t>. In 202</w:t>
      </w:r>
      <w:r w:rsidR="00E07CD6">
        <w:t>1</w:t>
      </w:r>
      <w:r>
        <w:t xml:space="preserve"> hadden </w:t>
      </w:r>
      <w:r w:rsidR="00C848B9">
        <w:t>28</w:t>
      </w:r>
      <w:r>
        <w:t xml:space="preserve"> organisaties een negatief resultaat. In 202</w:t>
      </w:r>
      <w:r w:rsidR="005E78A0">
        <w:t>2</w:t>
      </w:r>
      <w:r>
        <w:t xml:space="preserve"> waren dat er 5</w:t>
      </w:r>
      <w:r w:rsidR="00AF616D">
        <w:t>8</w:t>
      </w:r>
      <w:r>
        <w:t xml:space="preserve">, waarvan er </w:t>
      </w:r>
      <w:r w:rsidR="006111FC">
        <w:t>40</w:t>
      </w:r>
      <w:r>
        <w:t xml:space="preserve"> geen negatief resultaat hadden over 202</w:t>
      </w:r>
      <w:r w:rsidR="00234A70">
        <w:t>1</w:t>
      </w:r>
      <w:r>
        <w:t xml:space="preserve">. Dit betekent dat bij </w:t>
      </w:r>
      <w:r w:rsidR="00234A70">
        <w:t>1</w:t>
      </w:r>
      <w:r w:rsidR="00AF616D">
        <w:t>8</w:t>
      </w:r>
      <w:r>
        <w:t xml:space="preserve"> van de 5</w:t>
      </w:r>
      <w:r w:rsidR="00AF616D">
        <w:t>8</w:t>
      </w:r>
      <w:r>
        <w:t xml:space="preserve"> organisaties de negatieve resultaten een meer structure</w:t>
      </w:r>
      <w:r w:rsidR="007849D4">
        <w:t>e</w:t>
      </w:r>
      <w:r>
        <w:t xml:space="preserve">l </w:t>
      </w:r>
      <w:r w:rsidR="007849D4">
        <w:t xml:space="preserve">karakter </w:t>
      </w:r>
      <w:r>
        <w:t>lijken te hebben. Het gaat daarbij overigens hoofdzakelijk om kleinere organisaties (omzet tussen de € </w:t>
      </w:r>
      <w:r w:rsidR="009D1E3D">
        <w:t>1</w:t>
      </w:r>
      <w:r>
        <w:t xml:space="preserve"> </w:t>
      </w:r>
      <w:r w:rsidR="006E3043">
        <w:t xml:space="preserve">mln. </w:t>
      </w:r>
      <w:r>
        <w:t>en € </w:t>
      </w:r>
      <w:r w:rsidR="00CA5184">
        <w:t>25</w:t>
      </w:r>
      <w:r>
        <w:t xml:space="preserve"> mln</w:t>
      </w:r>
      <w:r w:rsidR="009F3186">
        <w:t>.</w:t>
      </w:r>
      <w:r>
        <w:t xml:space="preserve">). </w:t>
      </w:r>
    </w:p>
    <w:p w14:paraId="6ED78F05" w14:textId="77777777" w:rsidR="005E76BE" w:rsidRDefault="005E76BE" w:rsidP="00315F2D">
      <w:pPr>
        <w:pStyle w:val="06Bodytekst"/>
        <w:rPr>
          <w:highlight w:val="yellow"/>
        </w:rPr>
      </w:pPr>
    </w:p>
    <w:p w14:paraId="5E969E90" w14:textId="74F3A0FE" w:rsidR="005E76BE" w:rsidRDefault="005E76BE" w:rsidP="00315F2D">
      <w:pPr>
        <w:pStyle w:val="06Bodytekst"/>
      </w:pPr>
      <w:r>
        <w:t>Als de exploitatieresultaten worden beoordeeld naar organisatie-omvang (zie figuur 2)</w:t>
      </w:r>
      <w:r w:rsidR="00FD7E79">
        <w:t>,</w:t>
      </w:r>
      <w:r>
        <w:t xml:space="preserve"> dan is het </w:t>
      </w:r>
      <w:r w:rsidR="00980EA0">
        <w:t>opmerkelijke</w:t>
      </w:r>
      <w:r>
        <w:t xml:space="preserve"> beeld zichtbaar dat de kleinste organisaties </w:t>
      </w:r>
      <w:r w:rsidR="00987F11">
        <w:t xml:space="preserve">(met een omzet tot € 10 </w:t>
      </w:r>
      <w:r w:rsidR="001018A2">
        <w:t>mln.</w:t>
      </w:r>
      <w:r w:rsidR="00987F11">
        <w:t xml:space="preserve">) </w:t>
      </w:r>
      <w:r>
        <w:t xml:space="preserve">‘rendabeler’ zijn dan </w:t>
      </w:r>
      <w:r w:rsidR="00053C60">
        <w:t xml:space="preserve">de middelgrote </w:t>
      </w:r>
      <w:r w:rsidR="007353A2">
        <w:t xml:space="preserve">en grote </w:t>
      </w:r>
      <w:r w:rsidR="00053C60">
        <w:t>organisaties</w:t>
      </w:r>
      <w:r>
        <w:t xml:space="preserve">. </w:t>
      </w:r>
    </w:p>
    <w:p w14:paraId="15EF1A7B" w14:textId="77777777" w:rsidR="004B66E2" w:rsidRDefault="004B66E2" w:rsidP="00315F2D">
      <w:pPr>
        <w:pStyle w:val="06Bodytekst"/>
      </w:pPr>
    </w:p>
    <w:p w14:paraId="274A3013" w14:textId="27036C14" w:rsidR="00C12251" w:rsidRDefault="00C12251" w:rsidP="00315F2D">
      <w:pPr>
        <w:pStyle w:val="06Bodytekst"/>
      </w:pPr>
      <w:r>
        <w:t xml:space="preserve">Bij de allerkleinsten (met een omzet tot € 10 </w:t>
      </w:r>
      <w:r w:rsidR="001018A2">
        <w:t>mln.</w:t>
      </w:r>
      <w:r>
        <w:t xml:space="preserve">) valt de scherpe daling op. Dit is ten dele veroorzaakt doordat </w:t>
      </w:r>
      <w:r w:rsidR="001A6EEF">
        <w:t>deze groep in 2021 veel vastgoed met een boekwinst heeft verkocht.</w:t>
      </w:r>
      <w:r w:rsidR="00454334">
        <w:t xml:space="preserve"> </w:t>
      </w:r>
      <w:r w:rsidR="001A6EEF">
        <w:t xml:space="preserve">In de </w:t>
      </w:r>
      <w:r w:rsidR="001A6EEF">
        <w:lastRenderedPageBreak/>
        <w:t>r</w:t>
      </w:r>
      <w:r w:rsidR="00EB28B3">
        <w:t>e</w:t>
      </w:r>
      <w:r w:rsidR="001A6EEF">
        <w:t>sultaatratio over 2021 van deze groep (6,1%) zit dus een deel</w:t>
      </w:r>
      <w:r w:rsidR="00EB28B3">
        <w:t>s incidenteel karakter.</w:t>
      </w:r>
      <w:r w:rsidR="00454334">
        <w:t xml:space="preserve"> De trend van verkoop van vastgoed is als gevolg van de ambulantisering van de GGZ overigens al langer zichtbaar. </w:t>
      </w:r>
      <w:r w:rsidR="00EB28B3">
        <w:t xml:space="preserve"> </w:t>
      </w:r>
    </w:p>
    <w:p w14:paraId="056C0A62" w14:textId="77777777" w:rsidR="004C5B7E" w:rsidRDefault="004C5B7E" w:rsidP="00315F2D">
      <w:pPr>
        <w:pStyle w:val="06Bodytekst"/>
      </w:pPr>
    </w:p>
    <w:p w14:paraId="7A8FF718" w14:textId="61DD9752" w:rsidR="004C5B7E" w:rsidRDefault="004C5B7E" w:rsidP="00315F2D">
      <w:pPr>
        <w:pStyle w:val="06Bodytekst"/>
      </w:pPr>
      <w:r>
        <w:t xml:space="preserve">Bij de allergrootsten (met een omzet van meer dan € </w:t>
      </w:r>
      <w:r w:rsidR="00C8171E">
        <w:t>150</w:t>
      </w:r>
      <w:r>
        <w:t xml:space="preserve"> miljoen) is eveneens een scherpe daling zichtbaar</w:t>
      </w:r>
      <w:r w:rsidR="00A541CE">
        <w:t xml:space="preserve">. Waar deze groep van </w:t>
      </w:r>
      <w:r w:rsidR="00C8171E">
        <w:t xml:space="preserve">zeventien </w:t>
      </w:r>
      <w:r w:rsidR="00A541CE">
        <w:t>GGZ-aanbieders over 202</w:t>
      </w:r>
      <w:r w:rsidR="00070FF0">
        <w:t>1</w:t>
      </w:r>
      <w:r w:rsidR="00A541CE">
        <w:t xml:space="preserve"> nog een gezamenlijk </w:t>
      </w:r>
      <w:r w:rsidR="00070FF0">
        <w:t xml:space="preserve">positief </w:t>
      </w:r>
      <w:r w:rsidR="00A541CE">
        <w:t>res</w:t>
      </w:r>
      <w:r w:rsidR="00070FF0">
        <w:t xml:space="preserve">ultaat behaalde van € </w:t>
      </w:r>
      <w:r w:rsidR="00C24BB5">
        <w:t>103</w:t>
      </w:r>
      <w:r w:rsidR="00A701AE">
        <w:t xml:space="preserve">,1 </w:t>
      </w:r>
      <w:r w:rsidR="00070FF0">
        <w:t xml:space="preserve"> miljoen</w:t>
      </w:r>
      <w:r w:rsidR="002D2B62">
        <w:t xml:space="preserve"> </w:t>
      </w:r>
      <w:r w:rsidR="00070FF0">
        <w:t xml:space="preserve">is het gezamenlijk resultaat van diezelfde </w:t>
      </w:r>
      <w:r w:rsidR="00C8171E">
        <w:t xml:space="preserve">zeventien </w:t>
      </w:r>
      <w:r w:rsidR="00070FF0">
        <w:t xml:space="preserve">aanbieders over 2022 € </w:t>
      </w:r>
      <w:r w:rsidR="00A701AE">
        <w:t xml:space="preserve">35,6 </w:t>
      </w:r>
      <w:r w:rsidR="00933E76">
        <w:t xml:space="preserve"> miljoen</w:t>
      </w:r>
      <w:r w:rsidR="002D2B62">
        <w:t xml:space="preserve">. Daarbij valt op dat deze </w:t>
      </w:r>
      <w:r w:rsidR="00A701AE">
        <w:t xml:space="preserve">zeventien </w:t>
      </w:r>
      <w:r w:rsidR="002D2B62">
        <w:t xml:space="preserve">GGZ-aanbieders in 2021 nog allemaal zwarte cijfers schrijven, terwijl er in 2022 een </w:t>
      </w:r>
      <w:r w:rsidR="004B66E2">
        <w:t xml:space="preserve">zestal </w:t>
      </w:r>
      <w:r w:rsidR="002D2B62">
        <w:t xml:space="preserve">van diezelfde </w:t>
      </w:r>
      <w:r w:rsidR="004B66E2">
        <w:t xml:space="preserve">zeventien </w:t>
      </w:r>
      <w:r w:rsidR="002D2B62">
        <w:t>verlies maakten.</w:t>
      </w:r>
    </w:p>
    <w:p w14:paraId="1B737A42" w14:textId="77777777" w:rsidR="00E9196E" w:rsidRDefault="00E9196E" w:rsidP="00315F2D">
      <w:pPr>
        <w:pStyle w:val="06Bodytekst"/>
      </w:pPr>
    </w:p>
    <w:p w14:paraId="534DDBF1" w14:textId="77777777" w:rsidR="005E76BE" w:rsidRDefault="005E76BE" w:rsidP="005E76BE">
      <w:pPr>
        <w:pStyle w:val="06Bodytekst"/>
        <w:jc w:val="both"/>
        <w:rPr>
          <w:i/>
          <w:iCs/>
          <w:szCs w:val="18"/>
        </w:rPr>
      </w:pPr>
    </w:p>
    <w:p w14:paraId="6CFBA063" w14:textId="401F63C0" w:rsidR="005E76BE" w:rsidRDefault="005E76BE" w:rsidP="005E76BE">
      <w:pPr>
        <w:pStyle w:val="Bijschrift"/>
        <w:keepNext/>
        <w:rPr>
          <w:color w:val="000000" w:themeColor="text1"/>
        </w:rPr>
      </w:pPr>
      <w:r>
        <w:rPr>
          <w:color w:val="000000" w:themeColor="text1"/>
        </w:rPr>
        <w:t xml:space="preserve">Figuur </w:t>
      </w:r>
      <w:r>
        <w:rPr>
          <w:color w:val="000000" w:themeColor="text1"/>
        </w:rPr>
        <w:fldChar w:fldCharType="begin"/>
      </w:r>
      <w:r>
        <w:rPr>
          <w:color w:val="000000" w:themeColor="text1"/>
        </w:rPr>
        <w:instrText xml:space="preserve"> SEQ Figuur \* ARABIC </w:instrText>
      </w:r>
      <w:r>
        <w:rPr>
          <w:color w:val="000000" w:themeColor="text1"/>
        </w:rPr>
        <w:fldChar w:fldCharType="separate"/>
      </w:r>
      <w:r w:rsidR="00B50403">
        <w:rPr>
          <w:noProof/>
          <w:color w:val="000000" w:themeColor="text1"/>
        </w:rPr>
        <w:t>2</w:t>
      </w:r>
      <w:r>
        <w:rPr>
          <w:color w:val="000000" w:themeColor="text1"/>
        </w:rPr>
        <w:fldChar w:fldCharType="end"/>
      </w:r>
      <w:r>
        <w:rPr>
          <w:color w:val="000000" w:themeColor="text1"/>
        </w:rPr>
        <w:t xml:space="preserve"> Resultaatratio naar omvang </w:t>
      </w:r>
      <w:r w:rsidR="00454334">
        <w:rPr>
          <w:color w:val="000000" w:themeColor="text1"/>
        </w:rPr>
        <w:t>organisatie</w:t>
      </w:r>
    </w:p>
    <w:tbl>
      <w:tblPr>
        <w:tblStyle w:val="Tabelrasterlic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6"/>
        <w:gridCol w:w="1224"/>
        <w:gridCol w:w="2348"/>
        <w:gridCol w:w="2348"/>
      </w:tblGrid>
      <w:tr w:rsidR="00383F5C" w:rsidRPr="00383F5C" w14:paraId="109AE0AA" w14:textId="77777777" w:rsidTr="006F79F9">
        <w:trPr>
          <w:trHeight w:val="283"/>
        </w:trPr>
        <w:tc>
          <w:tcPr>
            <w:tcW w:w="1362" w:type="pct"/>
            <w:tcBorders>
              <w:bottom w:val="single" w:sz="4" w:space="0" w:color="auto"/>
            </w:tcBorders>
            <w:hideMark/>
          </w:tcPr>
          <w:p w14:paraId="1536BBD9" w14:textId="77777777" w:rsidR="00383F5C" w:rsidRPr="009B1C2C" w:rsidRDefault="00383F5C" w:rsidP="00383F5C">
            <w:pPr>
              <w:spacing w:line="240" w:lineRule="auto"/>
              <w:rPr>
                <w:rFonts w:ascii="Arial" w:eastAsia="Times New Roman" w:hAnsi="Arial" w:cs="Arial"/>
                <w:i/>
                <w:iCs/>
                <w:color w:val="000000"/>
                <w:sz w:val="18"/>
                <w:szCs w:val="18"/>
                <w:lang w:eastAsia="nl-NL"/>
              </w:rPr>
            </w:pPr>
            <w:r w:rsidRPr="009B1C2C">
              <w:rPr>
                <w:rFonts w:ascii="Arial" w:eastAsia="Times New Roman" w:hAnsi="Arial" w:cs="Arial"/>
                <w:i/>
                <w:iCs/>
                <w:color w:val="000000"/>
                <w:sz w:val="18"/>
                <w:szCs w:val="18"/>
                <w:lang w:eastAsia="nl-NL"/>
              </w:rPr>
              <w:t>NVTZ-Omzetklasse</w:t>
            </w:r>
          </w:p>
        </w:tc>
        <w:tc>
          <w:tcPr>
            <w:tcW w:w="752" w:type="pct"/>
            <w:tcBorders>
              <w:bottom w:val="single" w:sz="4" w:space="0" w:color="auto"/>
            </w:tcBorders>
            <w:hideMark/>
          </w:tcPr>
          <w:p w14:paraId="6FD12A74" w14:textId="77777777" w:rsidR="00383F5C" w:rsidRPr="009B1C2C" w:rsidRDefault="00383F5C" w:rsidP="00383F5C">
            <w:pPr>
              <w:spacing w:line="240" w:lineRule="auto"/>
              <w:rPr>
                <w:rFonts w:ascii="Arial" w:eastAsia="Times New Roman" w:hAnsi="Arial" w:cs="Arial"/>
                <w:i/>
                <w:iCs/>
                <w:color w:val="000000"/>
                <w:sz w:val="18"/>
                <w:szCs w:val="18"/>
                <w:lang w:eastAsia="nl-NL"/>
              </w:rPr>
            </w:pPr>
            <w:r w:rsidRPr="009B1C2C">
              <w:rPr>
                <w:rFonts w:ascii="Arial" w:eastAsia="Times New Roman" w:hAnsi="Arial" w:cs="Arial"/>
                <w:i/>
                <w:iCs/>
                <w:color w:val="000000"/>
                <w:sz w:val="18"/>
                <w:szCs w:val="18"/>
                <w:lang w:eastAsia="nl-NL"/>
              </w:rPr>
              <w:t>Aantal</w:t>
            </w:r>
          </w:p>
        </w:tc>
        <w:tc>
          <w:tcPr>
            <w:tcW w:w="1443" w:type="pct"/>
            <w:tcBorders>
              <w:bottom w:val="single" w:sz="4" w:space="0" w:color="auto"/>
            </w:tcBorders>
            <w:hideMark/>
          </w:tcPr>
          <w:p w14:paraId="46568DF0" w14:textId="77777777" w:rsidR="00383F5C" w:rsidRPr="009B1C2C" w:rsidRDefault="00383F5C" w:rsidP="00383F5C">
            <w:pPr>
              <w:spacing w:line="240" w:lineRule="auto"/>
              <w:rPr>
                <w:rFonts w:ascii="Arial" w:eastAsia="Times New Roman" w:hAnsi="Arial" w:cs="Arial"/>
                <w:i/>
                <w:iCs/>
                <w:color w:val="000000"/>
                <w:sz w:val="18"/>
                <w:szCs w:val="18"/>
                <w:lang w:eastAsia="nl-NL"/>
              </w:rPr>
            </w:pPr>
            <w:r w:rsidRPr="009B1C2C">
              <w:rPr>
                <w:rFonts w:ascii="Arial" w:eastAsia="Times New Roman" w:hAnsi="Arial" w:cs="Arial"/>
                <w:i/>
                <w:iCs/>
                <w:color w:val="000000"/>
                <w:sz w:val="18"/>
                <w:szCs w:val="18"/>
                <w:lang w:eastAsia="nl-NL"/>
              </w:rPr>
              <w:t>Resultaatratio 2022</w:t>
            </w:r>
          </w:p>
        </w:tc>
        <w:tc>
          <w:tcPr>
            <w:tcW w:w="1443" w:type="pct"/>
            <w:tcBorders>
              <w:bottom w:val="single" w:sz="4" w:space="0" w:color="auto"/>
            </w:tcBorders>
            <w:hideMark/>
          </w:tcPr>
          <w:p w14:paraId="01901C50" w14:textId="77777777" w:rsidR="00383F5C" w:rsidRPr="009B1C2C" w:rsidRDefault="00383F5C" w:rsidP="00383F5C">
            <w:pPr>
              <w:spacing w:line="240" w:lineRule="auto"/>
              <w:rPr>
                <w:rFonts w:ascii="Arial" w:eastAsia="Times New Roman" w:hAnsi="Arial" w:cs="Arial"/>
                <w:i/>
                <w:iCs/>
                <w:color w:val="000000"/>
                <w:sz w:val="18"/>
                <w:szCs w:val="18"/>
                <w:lang w:eastAsia="nl-NL"/>
              </w:rPr>
            </w:pPr>
            <w:r w:rsidRPr="009B1C2C">
              <w:rPr>
                <w:rFonts w:ascii="Arial" w:eastAsia="Times New Roman" w:hAnsi="Arial" w:cs="Arial"/>
                <w:i/>
                <w:iCs/>
                <w:color w:val="000000"/>
                <w:sz w:val="18"/>
                <w:szCs w:val="18"/>
                <w:lang w:eastAsia="nl-NL"/>
              </w:rPr>
              <w:t>Resultaatratio 2021</w:t>
            </w:r>
          </w:p>
        </w:tc>
      </w:tr>
      <w:tr w:rsidR="00383F5C" w:rsidRPr="00383F5C" w14:paraId="2EB5EFBE" w14:textId="77777777" w:rsidTr="006F79F9">
        <w:trPr>
          <w:trHeight w:val="283"/>
        </w:trPr>
        <w:tc>
          <w:tcPr>
            <w:tcW w:w="1362" w:type="pct"/>
            <w:tcBorders>
              <w:top w:val="single" w:sz="4" w:space="0" w:color="auto"/>
            </w:tcBorders>
            <w:hideMark/>
          </w:tcPr>
          <w:p w14:paraId="20A984B2" w14:textId="64DCB8A9" w:rsidR="00383F5C" w:rsidRPr="009B1C2C" w:rsidRDefault="00383F5C" w:rsidP="00383F5C">
            <w:pPr>
              <w:spacing w:line="240" w:lineRule="auto"/>
              <w:rPr>
                <w:rFonts w:ascii="Arial" w:eastAsia="Times New Roman" w:hAnsi="Arial" w:cs="Arial"/>
                <w:color w:val="000000"/>
                <w:sz w:val="18"/>
                <w:szCs w:val="18"/>
                <w:lang w:eastAsia="nl-NL"/>
              </w:rPr>
            </w:pPr>
            <w:r w:rsidRPr="009B1C2C">
              <w:rPr>
                <w:rFonts w:ascii="Arial" w:eastAsia="Times New Roman" w:hAnsi="Arial" w:cs="Arial"/>
                <w:color w:val="000000"/>
                <w:sz w:val="18"/>
                <w:szCs w:val="18"/>
                <w:lang w:eastAsia="nl-NL"/>
              </w:rPr>
              <w:t xml:space="preserve">€ </w:t>
            </w:r>
            <w:r w:rsidR="0050055C">
              <w:rPr>
                <w:rFonts w:ascii="Arial" w:eastAsia="Times New Roman" w:hAnsi="Arial" w:cs="Arial"/>
                <w:color w:val="000000"/>
                <w:sz w:val="18"/>
                <w:szCs w:val="18"/>
                <w:lang w:eastAsia="nl-NL"/>
              </w:rPr>
              <w:t>1</w:t>
            </w:r>
            <w:r w:rsidR="002C07A9">
              <w:rPr>
                <w:rFonts w:ascii="Arial" w:eastAsia="Times New Roman" w:hAnsi="Arial" w:cs="Arial"/>
                <w:color w:val="000000"/>
                <w:sz w:val="18"/>
                <w:szCs w:val="18"/>
                <w:lang w:eastAsia="nl-NL"/>
              </w:rPr>
              <w:t xml:space="preserve"> </w:t>
            </w:r>
            <w:r w:rsidR="0050055C">
              <w:rPr>
                <w:rFonts w:ascii="Arial" w:eastAsia="Times New Roman" w:hAnsi="Arial" w:cs="Arial"/>
                <w:color w:val="000000"/>
                <w:sz w:val="18"/>
                <w:szCs w:val="18"/>
                <w:lang w:eastAsia="nl-NL"/>
              </w:rPr>
              <w:t>-</w:t>
            </w:r>
            <w:r w:rsidR="002C07A9">
              <w:rPr>
                <w:rFonts w:ascii="Arial" w:eastAsia="Times New Roman" w:hAnsi="Arial" w:cs="Arial"/>
                <w:color w:val="000000"/>
                <w:sz w:val="18"/>
                <w:szCs w:val="18"/>
                <w:lang w:eastAsia="nl-NL"/>
              </w:rPr>
              <w:t xml:space="preserve"> </w:t>
            </w:r>
            <w:r w:rsidRPr="009B1C2C">
              <w:rPr>
                <w:rFonts w:ascii="Arial" w:eastAsia="Times New Roman" w:hAnsi="Arial" w:cs="Arial"/>
                <w:color w:val="000000"/>
                <w:sz w:val="18"/>
                <w:szCs w:val="18"/>
                <w:lang w:eastAsia="nl-NL"/>
              </w:rPr>
              <w:t>10 mln.</w:t>
            </w:r>
          </w:p>
        </w:tc>
        <w:tc>
          <w:tcPr>
            <w:tcW w:w="752" w:type="pct"/>
            <w:tcBorders>
              <w:top w:val="single" w:sz="4" w:space="0" w:color="auto"/>
            </w:tcBorders>
            <w:hideMark/>
          </w:tcPr>
          <w:p w14:paraId="225462B7" w14:textId="6687EB33" w:rsidR="00383F5C" w:rsidRPr="009B1C2C" w:rsidRDefault="00653421" w:rsidP="00383F5C">
            <w:pPr>
              <w:spacing w:line="240" w:lineRule="auto"/>
              <w:jc w:val="right"/>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72</w:t>
            </w:r>
          </w:p>
        </w:tc>
        <w:tc>
          <w:tcPr>
            <w:tcW w:w="1443" w:type="pct"/>
            <w:tcBorders>
              <w:top w:val="single" w:sz="4" w:space="0" w:color="auto"/>
            </w:tcBorders>
            <w:hideMark/>
          </w:tcPr>
          <w:p w14:paraId="1A5BD199" w14:textId="59466FDE" w:rsidR="00383F5C" w:rsidRPr="009B1C2C" w:rsidRDefault="001727E3" w:rsidP="00383F5C">
            <w:pPr>
              <w:spacing w:line="240" w:lineRule="auto"/>
              <w:jc w:val="right"/>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2,4</w:t>
            </w:r>
            <w:r w:rsidR="00383F5C" w:rsidRPr="009B1C2C">
              <w:rPr>
                <w:rFonts w:ascii="Arial" w:eastAsia="Times New Roman" w:hAnsi="Arial" w:cs="Arial"/>
                <w:color w:val="000000"/>
                <w:sz w:val="18"/>
                <w:szCs w:val="18"/>
                <w:lang w:eastAsia="nl-NL"/>
              </w:rPr>
              <w:t>%</w:t>
            </w:r>
          </w:p>
        </w:tc>
        <w:tc>
          <w:tcPr>
            <w:tcW w:w="1443" w:type="pct"/>
            <w:tcBorders>
              <w:top w:val="single" w:sz="4" w:space="0" w:color="auto"/>
            </w:tcBorders>
            <w:hideMark/>
          </w:tcPr>
          <w:p w14:paraId="4F84A4DF" w14:textId="4284B7A6" w:rsidR="00383F5C" w:rsidRPr="009B1C2C" w:rsidRDefault="00383F5C" w:rsidP="00383F5C">
            <w:pPr>
              <w:spacing w:line="240" w:lineRule="auto"/>
              <w:jc w:val="right"/>
              <w:rPr>
                <w:rFonts w:ascii="Arial" w:eastAsia="Times New Roman" w:hAnsi="Arial" w:cs="Arial"/>
                <w:color w:val="000000"/>
                <w:sz w:val="18"/>
                <w:szCs w:val="18"/>
                <w:lang w:eastAsia="nl-NL"/>
              </w:rPr>
            </w:pPr>
            <w:r w:rsidRPr="009B1C2C">
              <w:rPr>
                <w:rFonts w:ascii="Arial" w:eastAsia="Times New Roman" w:hAnsi="Arial" w:cs="Arial"/>
                <w:color w:val="000000"/>
                <w:sz w:val="18"/>
                <w:szCs w:val="18"/>
                <w:lang w:eastAsia="nl-NL"/>
              </w:rPr>
              <w:t>6,1%</w:t>
            </w:r>
          </w:p>
        </w:tc>
      </w:tr>
      <w:tr w:rsidR="00383F5C" w:rsidRPr="00383F5C" w14:paraId="4E7B126D" w14:textId="77777777" w:rsidTr="006F79F9">
        <w:trPr>
          <w:trHeight w:val="283"/>
        </w:trPr>
        <w:tc>
          <w:tcPr>
            <w:tcW w:w="1362" w:type="pct"/>
            <w:hideMark/>
          </w:tcPr>
          <w:p w14:paraId="14BB1D66" w14:textId="62951D13" w:rsidR="00383F5C" w:rsidRPr="009B1C2C" w:rsidRDefault="00383F5C" w:rsidP="00383F5C">
            <w:pPr>
              <w:spacing w:line="240" w:lineRule="auto"/>
              <w:rPr>
                <w:rFonts w:ascii="Arial" w:eastAsia="Times New Roman" w:hAnsi="Arial" w:cs="Arial"/>
                <w:color w:val="000000"/>
                <w:sz w:val="18"/>
                <w:szCs w:val="18"/>
                <w:lang w:eastAsia="nl-NL"/>
              </w:rPr>
            </w:pPr>
            <w:r w:rsidRPr="009B1C2C">
              <w:rPr>
                <w:rFonts w:ascii="Arial" w:eastAsia="Times New Roman" w:hAnsi="Arial" w:cs="Arial"/>
                <w:color w:val="000000"/>
                <w:sz w:val="18"/>
                <w:szCs w:val="18"/>
                <w:lang w:eastAsia="nl-NL"/>
              </w:rPr>
              <w:t>€ 10</w:t>
            </w:r>
            <w:r w:rsidR="002C07A9">
              <w:rPr>
                <w:rFonts w:ascii="Arial" w:eastAsia="Times New Roman" w:hAnsi="Arial" w:cs="Arial"/>
                <w:color w:val="000000"/>
                <w:sz w:val="18"/>
                <w:szCs w:val="18"/>
                <w:lang w:eastAsia="nl-NL"/>
              </w:rPr>
              <w:t xml:space="preserve"> - </w:t>
            </w:r>
            <w:r w:rsidRPr="009B1C2C">
              <w:rPr>
                <w:rFonts w:ascii="Arial" w:eastAsia="Times New Roman" w:hAnsi="Arial" w:cs="Arial"/>
                <w:color w:val="000000"/>
                <w:sz w:val="18"/>
                <w:szCs w:val="18"/>
                <w:lang w:eastAsia="nl-NL"/>
              </w:rPr>
              <w:t>25 mln.</w:t>
            </w:r>
          </w:p>
        </w:tc>
        <w:tc>
          <w:tcPr>
            <w:tcW w:w="752" w:type="pct"/>
            <w:hideMark/>
          </w:tcPr>
          <w:p w14:paraId="69638F92" w14:textId="2CC80649" w:rsidR="00383F5C" w:rsidRPr="009B1C2C" w:rsidRDefault="00383F5C" w:rsidP="00383F5C">
            <w:pPr>
              <w:spacing w:line="240" w:lineRule="auto"/>
              <w:jc w:val="right"/>
              <w:rPr>
                <w:rFonts w:ascii="Arial" w:eastAsia="Times New Roman" w:hAnsi="Arial" w:cs="Arial"/>
                <w:color w:val="000000"/>
                <w:sz w:val="18"/>
                <w:szCs w:val="18"/>
                <w:lang w:eastAsia="nl-NL"/>
              </w:rPr>
            </w:pPr>
            <w:r w:rsidRPr="009B1C2C">
              <w:rPr>
                <w:rFonts w:ascii="Arial" w:eastAsia="Times New Roman" w:hAnsi="Arial" w:cs="Arial"/>
                <w:color w:val="000000"/>
                <w:sz w:val="18"/>
                <w:szCs w:val="18"/>
                <w:lang w:eastAsia="nl-NL"/>
              </w:rPr>
              <w:t>3</w:t>
            </w:r>
            <w:r w:rsidR="00361FF1">
              <w:rPr>
                <w:rFonts w:ascii="Arial" w:eastAsia="Times New Roman" w:hAnsi="Arial" w:cs="Arial"/>
                <w:color w:val="000000"/>
                <w:sz w:val="18"/>
                <w:szCs w:val="18"/>
                <w:lang w:eastAsia="nl-NL"/>
              </w:rPr>
              <w:t>1</w:t>
            </w:r>
          </w:p>
        </w:tc>
        <w:tc>
          <w:tcPr>
            <w:tcW w:w="1443" w:type="pct"/>
            <w:hideMark/>
          </w:tcPr>
          <w:p w14:paraId="2B87B2C0" w14:textId="5BD44365" w:rsidR="00383F5C" w:rsidRPr="009B1C2C" w:rsidRDefault="00383F5C" w:rsidP="00383F5C">
            <w:pPr>
              <w:spacing w:line="240" w:lineRule="auto"/>
              <w:jc w:val="right"/>
              <w:rPr>
                <w:rFonts w:ascii="Arial" w:eastAsia="Times New Roman" w:hAnsi="Arial" w:cs="Arial"/>
                <w:color w:val="000000"/>
                <w:sz w:val="18"/>
                <w:szCs w:val="18"/>
                <w:lang w:eastAsia="nl-NL"/>
              </w:rPr>
            </w:pPr>
            <w:r w:rsidRPr="009B1C2C">
              <w:rPr>
                <w:rFonts w:ascii="Arial" w:eastAsia="Times New Roman" w:hAnsi="Arial" w:cs="Arial"/>
                <w:color w:val="000000"/>
                <w:sz w:val="18"/>
                <w:szCs w:val="18"/>
                <w:lang w:eastAsia="nl-NL"/>
              </w:rPr>
              <w:t>-</w:t>
            </w:r>
            <w:r w:rsidR="001727E3">
              <w:rPr>
                <w:rFonts w:ascii="Arial" w:eastAsia="Times New Roman" w:hAnsi="Arial" w:cs="Arial"/>
                <w:color w:val="000000"/>
                <w:sz w:val="18"/>
                <w:szCs w:val="18"/>
                <w:lang w:eastAsia="nl-NL"/>
              </w:rPr>
              <w:t>1,0</w:t>
            </w:r>
            <w:r w:rsidRPr="009B1C2C">
              <w:rPr>
                <w:rFonts w:ascii="Arial" w:eastAsia="Times New Roman" w:hAnsi="Arial" w:cs="Arial"/>
                <w:color w:val="000000"/>
                <w:sz w:val="18"/>
                <w:szCs w:val="18"/>
                <w:lang w:eastAsia="nl-NL"/>
              </w:rPr>
              <w:t>%</w:t>
            </w:r>
          </w:p>
        </w:tc>
        <w:tc>
          <w:tcPr>
            <w:tcW w:w="1443" w:type="pct"/>
            <w:hideMark/>
          </w:tcPr>
          <w:p w14:paraId="0FE13A02" w14:textId="3AEC05DF" w:rsidR="00383F5C" w:rsidRPr="009B1C2C" w:rsidRDefault="001727E3" w:rsidP="00383F5C">
            <w:pPr>
              <w:spacing w:line="240" w:lineRule="auto"/>
              <w:jc w:val="right"/>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3,3%</w:t>
            </w:r>
          </w:p>
        </w:tc>
      </w:tr>
      <w:tr w:rsidR="00383F5C" w:rsidRPr="00383F5C" w14:paraId="5334C803" w14:textId="77777777" w:rsidTr="006F79F9">
        <w:trPr>
          <w:trHeight w:val="283"/>
        </w:trPr>
        <w:tc>
          <w:tcPr>
            <w:tcW w:w="1362" w:type="pct"/>
            <w:hideMark/>
          </w:tcPr>
          <w:p w14:paraId="627EC62C" w14:textId="4EEEA9C4" w:rsidR="00383F5C" w:rsidRPr="009B1C2C" w:rsidRDefault="00383F5C" w:rsidP="00383F5C">
            <w:pPr>
              <w:spacing w:line="240" w:lineRule="auto"/>
              <w:rPr>
                <w:rFonts w:ascii="Arial" w:eastAsia="Times New Roman" w:hAnsi="Arial" w:cs="Arial"/>
                <w:color w:val="000000"/>
                <w:sz w:val="18"/>
                <w:szCs w:val="18"/>
                <w:lang w:eastAsia="nl-NL"/>
              </w:rPr>
            </w:pPr>
            <w:r w:rsidRPr="009B1C2C">
              <w:rPr>
                <w:rFonts w:ascii="Arial" w:eastAsia="Times New Roman" w:hAnsi="Arial" w:cs="Arial"/>
                <w:color w:val="000000"/>
                <w:sz w:val="18"/>
                <w:szCs w:val="18"/>
                <w:lang w:eastAsia="nl-NL"/>
              </w:rPr>
              <w:t>€ 25</w:t>
            </w:r>
            <w:r w:rsidR="002C07A9">
              <w:rPr>
                <w:rFonts w:ascii="Arial" w:eastAsia="Times New Roman" w:hAnsi="Arial" w:cs="Arial"/>
                <w:color w:val="000000"/>
                <w:sz w:val="18"/>
                <w:szCs w:val="18"/>
                <w:lang w:eastAsia="nl-NL"/>
              </w:rPr>
              <w:t xml:space="preserve"> - </w:t>
            </w:r>
            <w:r w:rsidRPr="009B1C2C">
              <w:rPr>
                <w:rFonts w:ascii="Arial" w:eastAsia="Times New Roman" w:hAnsi="Arial" w:cs="Arial"/>
                <w:color w:val="000000"/>
                <w:sz w:val="18"/>
                <w:szCs w:val="18"/>
                <w:lang w:eastAsia="nl-NL"/>
              </w:rPr>
              <w:t>60 mln.</w:t>
            </w:r>
          </w:p>
        </w:tc>
        <w:tc>
          <w:tcPr>
            <w:tcW w:w="752" w:type="pct"/>
            <w:hideMark/>
          </w:tcPr>
          <w:p w14:paraId="34857960" w14:textId="77777777" w:rsidR="00383F5C" w:rsidRPr="009B1C2C" w:rsidRDefault="00383F5C" w:rsidP="00383F5C">
            <w:pPr>
              <w:spacing w:line="240" w:lineRule="auto"/>
              <w:jc w:val="right"/>
              <w:rPr>
                <w:rFonts w:ascii="Arial" w:eastAsia="Times New Roman" w:hAnsi="Arial" w:cs="Arial"/>
                <w:color w:val="000000"/>
                <w:sz w:val="18"/>
                <w:szCs w:val="18"/>
                <w:lang w:eastAsia="nl-NL"/>
              </w:rPr>
            </w:pPr>
            <w:r w:rsidRPr="009B1C2C">
              <w:rPr>
                <w:rFonts w:ascii="Arial" w:eastAsia="Times New Roman" w:hAnsi="Arial" w:cs="Arial"/>
                <w:color w:val="000000"/>
                <w:sz w:val="18"/>
                <w:szCs w:val="18"/>
                <w:lang w:eastAsia="nl-NL"/>
              </w:rPr>
              <w:t>23</w:t>
            </w:r>
          </w:p>
        </w:tc>
        <w:tc>
          <w:tcPr>
            <w:tcW w:w="1443" w:type="pct"/>
            <w:hideMark/>
          </w:tcPr>
          <w:p w14:paraId="7F8E2738" w14:textId="5C8F58FB" w:rsidR="00383F5C" w:rsidRPr="009B1C2C" w:rsidRDefault="00383F5C" w:rsidP="00383F5C">
            <w:pPr>
              <w:spacing w:line="240" w:lineRule="auto"/>
              <w:jc w:val="right"/>
              <w:rPr>
                <w:rFonts w:ascii="Arial" w:eastAsia="Times New Roman" w:hAnsi="Arial" w:cs="Arial"/>
                <w:color w:val="000000"/>
                <w:sz w:val="18"/>
                <w:szCs w:val="18"/>
                <w:lang w:eastAsia="nl-NL"/>
              </w:rPr>
            </w:pPr>
            <w:r w:rsidRPr="009B1C2C">
              <w:rPr>
                <w:rFonts w:ascii="Arial" w:eastAsia="Times New Roman" w:hAnsi="Arial" w:cs="Arial"/>
                <w:color w:val="000000"/>
                <w:sz w:val="18"/>
                <w:szCs w:val="18"/>
                <w:lang w:eastAsia="nl-NL"/>
              </w:rPr>
              <w:t>1,</w:t>
            </w:r>
            <w:r w:rsidR="008674B0">
              <w:rPr>
                <w:rFonts w:ascii="Arial" w:eastAsia="Times New Roman" w:hAnsi="Arial" w:cs="Arial"/>
                <w:color w:val="000000"/>
                <w:sz w:val="18"/>
                <w:szCs w:val="18"/>
                <w:lang w:eastAsia="nl-NL"/>
              </w:rPr>
              <w:t>5</w:t>
            </w:r>
            <w:r w:rsidRPr="009B1C2C">
              <w:rPr>
                <w:rFonts w:ascii="Arial" w:eastAsia="Times New Roman" w:hAnsi="Arial" w:cs="Arial"/>
                <w:color w:val="000000"/>
                <w:sz w:val="18"/>
                <w:szCs w:val="18"/>
                <w:lang w:eastAsia="nl-NL"/>
              </w:rPr>
              <w:t>%</w:t>
            </w:r>
          </w:p>
        </w:tc>
        <w:tc>
          <w:tcPr>
            <w:tcW w:w="1443" w:type="pct"/>
            <w:hideMark/>
          </w:tcPr>
          <w:p w14:paraId="0B839D43" w14:textId="67C6A545" w:rsidR="00383F5C" w:rsidRPr="009B1C2C" w:rsidRDefault="008674B0" w:rsidP="00383F5C">
            <w:pPr>
              <w:spacing w:line="240" w:lineRule="auto"/>
              <w:jc w:val="right"/>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2,4%</w:t>
            </w:r>
          </w:p>
        </w:tc>
      </w:tr>
      <w:tr w:rsidR="00383F5C" w:rsidRPr="00383F5C" w14:paraId="60ABAEFF" w14:textId="77777777" w:rsidTr="006F79F9">
        <w:trPr>
          <w:trHeight w:val="283"/>
        </w:trPr>
        <w:tc>
          <w:tcPr>
            <w:tcW w:w="1362" w:type="pct"/>
            <w:hideMark/>
          </w:tcPr>
          <w:p w14:paraId="2AEA0F88" w14:textId="5CF8B778" w:rsidR="00383F5C" w:rsidRPr="009B1C2C" w:rsidRDefault="00383F5C" w:rsidP="00383F5C">
            <w:pPr>
              <w:spacing w:line="240" w:lineRule="auto"/>
              <w:rPr>
                <w:rFonts w:ascii="Arial" w:eastAsia="Times New Roman" w:hAnsi="Arial" w:cs="Arial"/>
                <w:color w:val="000000"/>
                <w:sz w:val="18"/>
                <w:szCs w:val="18"/>
                <w:lang w:eastAsia="nl-NL"/>
              </w:rPr>
            </w:pPr>
            <w:r w:rsidRPr="009B1C2C">
              <w:rPr>
                <w:rFonts w:ascii="Arial" w:eastAsia="Times New Roman" w:hAnsi="Arial" w:cs="Arial"/>
                <w:color w:val="000000"/>
                <w:sz w:val="18"/>
                <w:szCs w:val="18"/>
                <w:lang w:eastAsia="nl-NL"/>
              </w:rPr>
              <w:t xml:space="preserve">€ 60 </w:t>
            </w:r>
            <w:r w:rsidR="002C07A9">
              <w:rPr>
                <w:rFonts w:ascii="Arial" w:eastAsia="Times New Roman" w:hAnsi="Arial" w:cs="Arial"/>
                <w:color w:val="000000"/>
                <w:sz w:val="18"/>
                <w:szCs w:val="18"/>
                <w:lang w:eastAsia="nl-NL"/>
              </w:rPr>
              <w:t>-</w:t>
            </w:r>
            <w:r w:rsidRPr="009B1C2C">
              <w:rPr>
                <w:rFonts w:ascii="Arial" w:eastAsia="Times New Roman" w:hAnsi="Arial" w:cs="Arial"/>
                <w:color w:val="000000"/>
                <w:sz w:val="18"/>
                <w:szCs w:val="18"/>
                <w:lang w:eastAsia="nl-NL"/>
              </w:rPr>
              <w:t xml:space="preserve"> 150 mln.</w:t>
            </w:r>
          </w:p>
        </w:tc>
        <w:tc>
          <w:tcPr>
            <w:tcW w:w="752" w:type="pct"/>
            <w:hideMark/>
          </w:tcPr>
          <w:p w14:paraId="70629238" w14:textId="52014C8C" w:rsidR="00383F5C" w:rsidRPr="009B1C2C" w:rsidRDefault="007B5F78" w:rsidP="00383F5C">
            <w:pPr>
              <w:spacing w:line="240" w:lineRule="auto"/>
              <w:jc w:val="right"/>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23</w:t>
            </w:r>
          </w:p>
        </w:tc>
        <w:tc>
          <w:tcPr>
            <w:tcW w:w="1443" w:type="pct"/>
            <w:hideMark/>
          </w:tcPr>
          <w:p w14:paraId="109068EE" w14:textId="23985B08" w:rsidR="00383F5C" w:rsidRPr="009B1C2C" w:rsidRDefault="00383F5C" w:rsidP="00383F5C">
            <w:pPr>
              <w:spacing w:line="240" w:lineRule="auto"/>
              <w:jc w:val="right"/>
              <w:rPr>
                <w:rFonts w:ascii="Arial" w:eastAsia="Times New Roman" w:hAnsi="Arial" w:cs="Arial"/>
                <w:color w:val="000000"/>
                <w:sz w:val="18"/>
                <w:szCs w:val="18"/>
                <w:lang w:eastAsia="nl-NL"/>
              </w:rPr>
            </w:pPr>
            <w:r w:rsidRPr="009B1C2C">
              <w:rPr>
                <w:rFonts w:ascii="Arial" w:eastAsia="Times New Roman" w:hAnsi="Arial" w:cs="Arial"/>
                <w:color w:val="000000"/>
                <w:sz w:val="18"/>
                <w:szCs w:val="18"/>
                <w:lang w:eastAsia="nl-NL"/>
              </w:rPr>
              <w:t>1,</w:t>
            </w:r>
            <w:r w:rsidR="008674B0">
              <w:rPr>
                <w:rFonts w:ascii="Arial" w:eastAsia="Times New Roman" w:hAnsi="Arial" w:cs="Arial"/>
                <w:color w:val="000000"/>
                <w:sz w:val="18"/>
                <w:szCs w:val="18"/>
                <w:lang w:eastAsia="nl-NL"/>
              </w:rPr>
              <w:t>1</w:t>
            </w:r>
            <w:r w:rsidRPr="009B1C2C">
              <w:rPr>
                <w:rFonts w:ascii="Arial" w:eastAsia="Times New Roman" w:hAnsi="Arial" w:cs="Arial"/>
                <w:color w:val="000000"/>
                <w:sz w:val="18"/>
                <w:szCs w:val="18"/>
                <w:lang w:eastAsia="nl-NL"/>
              </w:rPr>
              <w:t>%</w:t>
            </w:r>
          </w:p>
        </w:tc>
        <w:tc>
          <w:tcPr>
            <w:tcW w:w="1443" w:type="pct"/>
            <w:hideMark/>
          </w:tcPr>
          <w:p w14:paraId="0F162C3C" w14:textId="781081EA" w:rsidR="00383F5C" w:rsidRPr="009B1C2C" w:rsidRDefault="00383F5C" w:rsidP="00383F5C">
            <w:pPr>
              <w:spacing w:line="240" w:lineRule="auto"/>
              <w:jc w:val="right"/>
              <w:rPr>
                <w:rFonts w:ascii="Arial" w:eastAsia="Times New Roman" w:hAnsi="Arial" w:cs="Arial"/>
                <w:color w:val="000000"/>
                <w:sz w:val="18"/>
                <w:szCs w:val="18"/>
                <w:lang w:eastAsia="nl-NL"/>
              </w:rPr>
            </w:pPr>
            <w:r w:rsidRPr="009B1C2C">
              <w:rPr>
                <w:rFonts w:ascii="Arial" w:eastAsia="Times New Roman" w:hAnsi="Arial" w:cs="Arial"/>
                <w:color w:val="000000"/>
                <w:sz w:val="18"/>
                <w:szCs w:val="18"/>
                <w:lang w:eastAsia="nl-NL"/>
              </w:rPr>
              <w:t>2,8%</w:t>
            </w:r>
          </w:p>
        </w:tc>
      </w:tr>
      <w:tr w:rsidR="00383F5C" w:rsidRPr="00383F5C" w14:paraId="7C4EC9A7" w14:textId="77777777" w:rsidTr="006F79F9">
        <w:trPr>
          <w:trHeight w:val="283"/>
        </w:trPr>
        <w:tc>
          <w:tcPr>
            <w:tcW w:w="1362" w:type="pct"/>
            <w:hideMark/>
          </w:tcPr>
          <w:p w14:paraId="35654521" w14:textId="7BB40D69" w:rsidR="00383F5C" w:rsidRPr="009B1C2C" w:rsidRDefault="00383F5C" w:rsidP="00383F5C">
            <w:pPr>
              <w:spacing w:line="240" w:lineRule="auto"/>
              <w:rPr>
                <w:rFonts w:ascii="Arial" w:eastAsia="Times New Roman" w:hAnsi="Arial" w:cs="Arial"/>
                <w:color w:val="000000"/>
                <w:sz w:val="18"/>
                <w:szCs w:val="18"/>
                <w:lang w:eastAsia="nl-NL"/>
              </w:rPr>
            </w:pPr>
            <w:r w:rsidRPr="009B1C2C">
              <w:rPr>
                <w:rFonts w:ascii="Arial" w:eastAsia="Times New Roman" w:hAnsi="Arial" w:cs="Arial"/>
                <w:color w:val="000000"/>
                <w:sz w:val="18"/>
                <w:szCs w:val="18"/>
                <w:lang w:eastAsia="nl-NL"/>
              </w:rPr>
              <w:t xml:space="preserve">€ 150 </w:t>
            </w:r>
            <w:r w:rsidR="00FC3A09">
              <w:rPr>
                <w:rFonts w:ascii="Arial" w:eastAsia="Times New Roman" w:hAnsi="Arial" w:cs="Arial"/>
                <w:color w:val="000000"/>
                <w:sz w:val="18"/>
                <w:szCs w:val="18"/>
                <w:lang w:eastAsia="nl-NL"/>
              </w:rPr>
              <w:t>mln</w:t>
            </w:r>
            <w:r w:rsidR="00595945">
              <w:rPr>
                <w:rFonts w:ascii="Arial" w:eastAsia="Times New Roman" w:hAnsi="Arial" w:cs="Arial"/>
                <w:color w:val="000000"/>
                <w:sz w:val="18"/>
                <w:szCs w:val="18"/>
                <w:lang w:eastAsia="nl-NL"/>
              </w:rPr>
              <w:t>.</w:t>
            </w:r>
            <w:r w:rsidR="00FC3A09">
              <w:rPr>
                <w:rFonts w:ascii="Arial" w:eastAsia="Times New Roman" w:hAnsi="Arial" w:cs="Arial"/>
                <w:color w:val="000000"/>
                <w:sz w:val="18"/>
                <w:szCs w:val="18"/>
                <w:lang w:eastAsia="nl-NL"/>
              </w:rPr>
              <w:t xml:space="preserve"> en hoger</w:t>
            </w:r>
          </w:p>
        </w:tc>
        <w:tc>
          <w:tcPr>
            <w:tcW w:w="752" w:type="pct"/>
            <w:hideMark/>
          </w:tcPr>
          <w:p w14:paraId="0919CA53" w14:textId="08CAEC0A" w:rsidR="00383F5C" w:rsidRPr="009B1C2C" w:rsidRDefault="00383F5C" w:rsidP="00383F5C">
            <w:pPr>
              <w:spacing w:line="240" w:lineRule="auto"/>
              <w:jc w:val="right"/>
              <w:rPr>
                <w:rFonts w:ascii="Arial" w:eastAsia="Times New Roman" w:hAnsi="Arial" w:cs="Arial"/>
                <w:color w:val="000000"/>
                <w:sz w:val="18"/>
                <w:szCs w:val="18"/>
                <w:lang w:eastAsia="nl-NL"/>
              </w:rPr>
            </w:pPr>
            <w:r w:rsidRPr="009B1C2C">
              <w:rPr>
                <w:rFonts w:ascii="Arial" w:eastAsia="Times New Roman" w:hAnsi="Arial" w:cs="Arial"/>
                <w:color w:val="000000"/>
                <w:sz w:val="18"/>
                <w:szCs w:val="18"/>
                <w:lang w:eastAsia="nl-NL"/>
              </w:rPr>
              <w:t>1</w:t>
            </w:r>
            <w:r w:rsidR="007B5F78">
              <w:rPr>
                <w:rFonts w:ascii="Arial" w:eastAsia="Times New Roman" w:hAnsi="Arial" w:cs="Arial"/>
                <w:color w:val="000000"/>
                <w:sz w:val="18"/>
                <w:szCs w:val="18"/>
                <w:lang w:eastAsia="nl-NL"/>
              </w:rPr>
              <w:t>7</w:t>
            </w:r>
          </w:p>
        </w:tc>
        <w:tc>
          <w:tcPr>
            <w:tcW w:w="1443" w:type="pct"/>
            <w:hideMark/>
          </w:tcPr>
          <w:p w14:paraId="3D7382A2" w14:textId="4E21FEF9" w:rsidR="00383F5C" w:rsidRPr="009B1C2C" w:rsidRDefault="00135BF9" w:rsidP="00383F5C">
            <w:pPr>
              <w:spacing w:line="240" w:lineRule="auto"/>
              <w:jc w:val="right"/>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0,7</w:t>
            </w:r>
            <w:r w:rsidR="00383F5C" w:rsidRPr="009B1C2C">
              <w:rPr>
                <w:rFonts w:ascii="Arial" w:eastAsia="Times New Roman" w:hAnsi="Arial" w:cs="Arial"/>
                <w:color w:val="000000"/>
                <w:sz w:val="18"/>
                <w:szCs w:val="18"/>
                <w:lang w:eastAsia="nl-NL"/>
              </w:rPr>
              <w:t>%</w:t>
            </w:r>
          </w:p>
        </w:tc>
        <w:tc>
          <w:tcPr>
            <w:tcW w:w="1443" w:type="pct"/>
            <w:hideMark/>
          </w:tcPr>
          <w:p w14:paraId="13674856" w14:textId="5759481A" w:rsidR="00383F5C" w:rsidRPr="009B1C2C" w:rsidRDefault="00135BF9" w:rsidP="00383F5C">
            <w:pPr>
              <w:spacing w:line="240" w:lineRule="auto"/>
              <w:jc w:val="right"/>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4,4%</w:t>
            </w:r>
          </w:p>
        </w:tc>
      </w:tr>
      <w:tr w:rsidR="00383F5C" w:rsidRPr="00383F5C" w14:paraId="145D21F1" w14:textId="77777777" w:rsidTr="006F79F9">
        <w:trPr>
          <w:trHeight w:val="283"/>
        </w:trPr>
        <w:tc>
          <w:tcPr>
            <w:tcW w:w="1362" w:type="pct"/>
            <w:tcBorders>
              <w:top w:val="single" w:sz="4" w:space="0" w:color="auto"/>
            </w:tcBorders>
            <w:hideMark/>
          </w:tcPr>
          <w:p w14:paraId="3538CEB6" w14:textId="77777777" w:rsidR="00383F5C" w:rsidRPr="009B1C2C" w:rsidRDefault="00383F5C" w:rsidP="00383F5C">
            <w:pPr>
              <w:spacing w:line="240" w:lineRule="auto"/>
              <w:rPr>
                <w:rFonts w:ascii="Arial" w:eastAsia="Times New Roman" w:hAnsi="Arial" w:cs="Arial"/>
                <w:color w:val="000000"/>
                <w:sz w:val="18"/>
                <w:szCs w:val="18"/>
                <w:lang w:eastAsia="nl-NL"/>
              </w:rPr>
            </w:pPr>
            <w:r w:rsidRPr="009B1C2C">
              <w:rPr>
                <w:rFonts w:ascii="Arial" w:eastAsia="Times New Roman" w:hAnsi="Arial" w:cs="Arial"/>
                <w:color w:val="000000"/>
                <w:sz w:val="18"/>
                <w:szCs w:val="18"/>
                <w:lang w:eastAsia="nl-NL"/>
              </w:rPr>
              <w:t>Totaal</w:t>
            </w:r>
          </w:p>
        </w:tc>
        <w:tc>
          <w:tcPr>
            <w:tcW w:w="752" w:type="pct"/>
            <w:tcBorders>
              <w:top w:val="single" w:sz="4" w:space="0" w:color="auto"/>
            </w:tcBorders>
            <w:hideMark/>
          </w:tcPr>
          <w:p w14:paraId="5F5EE46C" w14:textId="7641CB4E" w:rsidR="00383F5C" w:rsidRPr="009B1C2C" w:rsidRDefault="00383F5C" w:rsidP="00383F5C">
            <w:pPr>
              <w:spacing w:line="240" w:lineRule="auto"/>
              <w:jc w:val="right"/>
              <w:rPr>
                <w:rFonts w:ascii="Arial" w:eastAsia="Times New Roman" w:hAnsi="Arial" w:cs="Arial"/>
                <w:color w:val="000000"/>
                <w:sz w:val="18"/>
                <w:szCs w:val="18"/>
                <w:lang w:eastAsia="nl-NL"/>
              </w:rPr>
            </w:pPr>
            <w:r w:rsidRPr="009B1C2C">
              <w:rPr>
                <w:rFonts w:ascii="Arial" w:eastAsia="Times New Roman" w:hAnsi="Arial" w:cs="Arial"/>
                <w:color w:val="000000"/>
                <w:sz w:val="18"/>
                <w:szCs w:val="18"/>
                <w:lang w:eastAsia="nl-NL"/>
              </w:rPr>
              <w:t>16</w:t>
            </w:r>
            <w:r w:rsidR="000F5EFA">
              <w:rPr>
                <w:rFonts w:ascii="Arial" w:eastAsia="Times New Roman" w:hAnsi="Arial" w:cs="Arial"/>
                <w:color w:val="000000"/>
                <w:sz w:val="18"/>
                <w:szCs w:val="18"/>
                <w:lang w:eastAsia="nl-NL"/>
              </w:rPr>
              <w:t>6</w:t>
            </w:r>
          </w:p>
        </w:tc>
        <w:tc>
          <w:tcPr>
            <w:tcW w:w="1443" w:type="pct"/>
            <w:tcBorders>
              <w:top w:val="single" w:sz="4" w:space="0" w:color="auto"/>
            </w:tcBorders>
            <w:hideMark/>
          </w:tcPr>
          <w:p w14:paraId="566DE7F0" w14:textId="55F66963" w:rsidR="00383F5C" w:rsidRPr="009B1C2C" w:rsidRDefault="009F3205" w:rsidP="00383F5C">
            <w:pPr>
              <w:spacing w:line="240" w:lineRule="auto"/>
              <w:jc w:val="right"/>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0,8</w:t>
            </w:r>
            <w:r w:rsidR="00383F5C" w:rsidRPr="009B1C2C">
              <w:rPr>
                <w:rFonts w:ascii="Arial" w:eastAsia="Times New Roman" w:hAnsi="Arial" w:cs="Arial"/>
                <w:color w:val="000000"/>
                <w:sz w:val="18"/>
                <w:szCs w:val="18"/>
                <w:lang w:eastAsia="nl-NL"/>
              </w:rPr>
              <w:t>%</w:t>
            </w:r>
          </w:p>
        </w:tc>
        <w:tc>
          <w:tcPr>
            <w:tcW w:w="1443" w:type="pct"/>
            <w:tcBorders>
              <w:top w:val="single" w:sz="4" w:space="0" w:color="auto"/>
            </w:tcBorders>
            <w:hideMark/>
          </w:tcPr>
          <w:p w14:paraId="5167C0D2" w14:textId="09036B27" w:rsidR="00383F5C" w:rsidRPr="009B1C2C" w:rsidRDefault="00383F5C" w:rsidP="00383F5C">
            <w:pPr>
              <w:spacing w:line="240" w:lineRule="auto"/>
              <w:jc w:val="right"/>
              <w:rPr>
                <w:rFonts w:ascii="Arial" w:eastAsia="Times New Roman" w:hAnsi="Arial" w:cs="Arial"/>
                <w:color w:val="000000"/>
                <w:sz w:val="18"/>
                <w:szCs w:val="18"/>
                <w:lang w:eastAsia="nl-NL"/>
              </w:rPr>
            </w:pPr>
            <w:r w:rsidRPr="009B1C2C">
              <w:rPr>
                <w:rFonts w:ascii="Arial" w:eastAsia="Times New Roman" w:hAnsi="Arial" w:cs="Arial"/>
                <w:color w:val="000000"/>
                <w:sz w:val="18"/>
                <w:szCs w:val="18"/>
                <w:lang w:eastAsia="nl-NL"/>
              </w:rPr>
              <w:t>2,</w:t>
            </w:r>
            <w:r w:rsidR="009F3205">
              <w:rPr>
                <w:rFonts w:ascii="Arial" w:eastAsia="Times New Roman" w:hAnsi="Arial" w:cs="Arial"/>
                <w:color w:val="000000"/>
                <w:sz w:val="18"/>
                <w:szCs w:val="18"/>
                <w:lang w:eastAsia="nl-NL"/>
              </w:rPr>
              <w:t>6</w:t>
            </w:r>
            <w:r w:rsidRPr="009B1C2C">
              <w:rPr>
                <w:rFonts w:ascii="Arial" w:eastAsia="Times New Roman" w:hAnsi="Arial" w:cs="Arial"/>
                <w:color w:val="000000"/>
                <w:sz w:val="18"/>
                <w:szCs w:val="18"/>
                <w:lang w:eastAsia="nl-NL"/>
              </w:rPr>
              <w:t>%</w:t>
            </w:r>
          </w:p>
        </w:tc>
      </w:tr>
    </w:tbl>
    <w:p w14:paraId="09680DD8" w14:textId="77777777" w:rsidR="00383F5C" w:rsidRDefault="00383F5C" w:rsidP="00383F5C"/>
    <w:p w14:paraId="36D66184" w14:textId="77777777" w:rsidR="00383F5C" w:rsidRPr="00383F5C" w:rsidRDefault="00383F5C" w:rsidP="00383F5C"/>
    <w:p w14:paraId="1A08C8B3" w14:textId="77777777" w:rsidR="005E76BE" w:rsidRDefault="005E76BE" w:rsidP="005E76BE">
      <w:pPr>
        <w:pStyle w:val="02Paragraafkop"/>
        <w:numPr>
          <w:ilvl w:val="1"/>
          <w:numId w:val="19"/>
        </w:numPr>
      </w:pPr>
      <w:bookmarkStart w:id="7" w:name="_Toc516563327"/>
      <w:bookmarkStart w:id="8" w:name="_Toc148100249"/>
      <w:r>
        <w:t>Liquiditeit</w:t>
      </w:r>
      <w:bookmarkEnd w:id="7"/>
      <w:bookmarkEnd w:id="8"/>
    </w:p>
    <w:p w14:paraId="4E8C899B" w14:textId="79C4BDCD" w:rsidR="00074B0E" w:rsidRDefault="005E76BE" w:rsidP="00D84507">
      <w:pPr>
        <w:pStyle w:val="06Bodytekst"/>
        <w:rPr>
          <w:highlight w:val="yellow"/>
        </w:rPr>
      </w:pPr>
      <w:r>
        <w:t xml:space="preserve">De liquiditeitsratio is in de GGZ-sector al meerdere jaren stabiel; vanaf 2017 ligt deze op 1,6. </w:t>
      </w:r>
      <w:r w:rsidR="00D41E4F">
        <w:t>Eind</w:t>
      </w:r>
      <w:r>
        <w:t xml:space="preserve"> 202</w:t>
      </w:r>
      <w:r w:rsidR="00EE552B">
        <w:t>2</w:t>
      </w:r>
      <w:r>
        <w:t xml:space="preserve"> is de liquiditeitsratio ook 1,6. Daarmee ligt de gemiddelde ratio structureel boven de gangbare </w:t>
      </w:r>
      <w:r w:rsidR="007849D4">
        <w:t xml:space="preserve">bedrijfseconomische norm </w:t>
      </w:r>
      <w:r>
        <w:t xml:space="preserve">van 1,0. </w:t>
      </w:r>
      <w:r w:rsidR="00074B0E">
        <w:t>Het aantal GGZ-organisaties in de ‘gevarenzone’ (liquiditeitsratio kleiner dan 1,0) is vrijwel onveranderd gebleven. In 2021 hadden 14 organisaties een liquiditeit</w:t>
      </w:r>
      <w:r w:rsidR="007849D4">
        <w:t>sratio</w:t>
      </w:r>
      <w:r w:rsidR="00074B0E">
        <w:t xml:space="preserve"> kleiner dan 1,0. In 2022 waren dit er 16.</w:t>
      </w:r>
    </w:p>
    <w:p w14:paraId="31517DC0" w14:textId="77777777" w:rsidR="00074B0E" w:rsidRDefault="00074B0E" w:rsidP="00D41E4F">
      <w:pPr>
        <w:pStyle w:val="06Bodytekst"/>
      </w:pPr>
    </w:p>
    <w:p w14:paraId="5E083A6A" w14:textId="1E296CF4" w:rsidR="005E76BE" w:rsidRDefault="007849D4" w:rsidP="00D41E4F">
      <w:pPr>
        <w:pStyle w:val="06Bodytekst"/>
      </w:pPr>
      <w:r>
        <w:t>Een nadere analyse van de liquiditeitsontwikkeling leert</w:t>
      </w:r>
      <w:r w:rsidRPr="004756A5">
        <w:t xml:space="preserve"> </w:t>
      </w:r>
      <w:r w:rsidR="00F723F6" w:rsidRPr="004756A5">
        <w:t>dat h</w:t>
      </w:r>
      <w:r w:rsidR="005E76BE" w:rsidRPr="004756A5">
        <w:t xml:space="preserve">et totaal van de liquide middelen is </w:t>
      </w:r>
      <w:r w:rsidR="009560A6" w:rsidRPr="004756A5">
        <w:t>gedaald</w:t>
      </w:r>
      <w:r w:rsidR="005E76BE" w:rsidRPr="004756A5">
        <w:t xml:space="preserve"> met circa € </w:t>
      </w:r>
      <w:r w:rsidR="009560A6" w:rsidRPr="004756A5">
        <w:t>1</w:t>
      </w:r>
      <w:r w:rsidR="00713CE2">
        <w:t>4</w:t>
      </w:r>
      <w:r w:rsidR="009560A6" w:rsidRPr="004756A5">
        <w:t>6</w:t>
      </w:r>
      <w:r w:rsidR="005E76BE" w:rsidRPr="004756A5">
        <w:t xml:space="preserve"> </w:t>
      </w:r>
      <w:r w:rsidR="001018A2">
        <w:t>mln.</w:t>
      </w:r>
      <w:r w:rsidR="00F723F6" w:rsidRPr="004756A5">
        <w:t xml:space="preserve"> (</w:t>
      </w:r>
      <w:r w:rsidR="005E76BE" w:rsidRPr="004756A5">
        <w:t>van € 1.</w:t>
      </w:r>
      <w:r w:rsidR="001B039F" w:rsidRPr="004756A5">
        <w:t>3</w:t>
      </w:r>
      <w:r w:rsidR="00092234">
        <w:t>3</w:t>
      </w:r>
      <w:r w:rsidR="001B039F" w:rsidRPr="004756A5">
        <w:t>6</w:t>
      </w:r>
      <w:r w:rsidR="005E76BE" w:rsidRPr="004756A5">
        <w:t xml:space="preserve"> </w:t>
      </w:r>
      <w:r w:rsidR="001018A2">
        <w:t>mln.</w:t>
      </w:r>
      <w:r w:rsidR="005E76BE" w:rsidRPr="004756A5">
        <w:t xml:space="preserve"> in 202</w:t>
      </w:r>
      <w:r w:rsidR="001B039F" w:rsidRPr="004756A5">
        <w:t>1</w:t>
      </w:r>
      <w:r w:rsidR="005E76BE" w:rsidRPr="004756A5">
        <w:t xml:space="preserve"> naar € 1.</w:t>
      </w:r>
      <w:r w:rsidR="006D2B1E" w:rsidRPr="004756A5">
        <w:t>1</w:t>
      </w:r>
      <w:r w:rsidR="00713CE2">
        <w:t>89</w:t>
      </w:r>
      <w:r w:rsidR="005E76BE" w:rsidRPr="004756A5">
        <w:t xml:space="preserve"> </w:t>
      </w:r>
      <w:r w:rsidR="001018A2">
        <w:t>mln.</w:t>
      </w:r>
      <w:r w:rsidR="005E76BE" w:rsidRPr="004756A5">
        <w:t xml:space="preserve"> in 202</w:t>
      </w:r>
      <w:r w:rsidR="006D2B1E" w:rsidRPr="004756A5">
        <w:t>2</w:t>
      </w:r>
      <w:r w:rsidR="00F723F6" w:rsidRPr="004756A5">
        <w:t>) en dat</w:t>
      </w:r>
      <w:r w:rsidR="008F03AB" w:rsidRPr="004756A5">
        <w:t xml:space="preserve"> de </w:t>
      </w:r>
      <w:r w:rsidR="00C33B24">
        <w:t xml:space="preserve">openstaande </w:t>
      </w:r>
      <w:r w:rsidR="008F03AB" w:rsidRPr="004756A5">
        <w:t xml:space="preserve">vorderingen </w:t>
      </w:r>
      <w:r w:rsidR="00F723F6" w:rsidRPr="004756A5">
        <w:t xml:space="preserve">zijn </w:t>
      </w:r>
      <w:r w:rsidR="008F03AB" w:rsidRPr="004756A5">
        <w:t>gestegen</w:t>
      </w:r>
      <w:r w:rsidR="00F723F6" w:rsidRPr="004756A5">
        <w:t xml:space="preserve"> met </w:t>
      </w:r>
      <w:r w:rsidR="00C33B24">
        <w:t xml:space="preserve">€ </w:t>
      </w:r>
      <w:r w:rsidR="00EB37EC">
        <w:t>273</w:t>
      </w:r>
      <w:r w:rsidR="00C33B24">
        <w:t xml:space="preserve"> mln</w:t>
      </w:r>
      <w:r w:rsidR="00F723F6" w:rsidRPr="004756A5">
        <w:t xml:space="preserve">. </w:t>
      </w:r>
      <w:r w:rsidR="005E76BE" w:rsidRPr="004756A5">
        <w:t xml:space="preserve"> </w:t>
      </w:r>
      <w:r w:rsidR="00C33B24">
        <w:t xml:space="preserve">Een groot deel van de </w:t>
      </w:r>
      <w:r w:rsidR="0003283E">
        <w:t>o</w:t>
      </w:r>
      <w:r w:rsidR="00C33B24">
        <w:t xml:space="preserve">penstaande vorderingen heeft betrekking op zorgverzekeraars. </w:t>
      </w:r>
      <w:r w:rsidR="009F33BD" w:rsidRPr="004756A5">
        <w:t xml:space="preserve">Veel organisaties </w:t>
      </w:r>
      <w:r w:rsidR="00B5634A" w:rsidRPr="004756A5">
        <w:t>hadden</w:t>
      </w:r>
      <w:r w:rsidR="009F33BD" w:rsidRPr="004756A5">
        <w:t xml:space="preserve"> </w:t>
      </w:r>
      <w:r w:rsidR="00F723F6" w:rsidRPr="004756A5">
        <w:t xml:space="preserve">in 2022 </w:t>
      </w:r>
      <w:r w:rsidR="009F33BD" w:rsidRPr="004756A5">
        <w:t>hun ICT nog niet ingericht</w:t>
      </w:r>
      <w:r w:rsidR="00FF53A1" w:rsidRPr="004756A5">
        <w:t xml:space="preserve"> op het zorgprestatiemodel</w:t>
      </w:r>
      <w:r w:rsidR="00746287" w:rsidRPr="004756A5">
        <w:t>,</w:t>
      </w:r>
      <w:r w:rsidR="009F33BD" w:rsidRPr="004756A5">
        <w:t xml:space="preserve"> </w:t>
      </w:r>
      <w:r w:rsidR="00661142">
        <w:t xml:space="preserve">mede veroorzaakt door vertragingen bij softwareleveranciers, </w:t>
      </w:r>
      <w:r w:rsidR="009F33BD" w:rsidRPr="004756A5">
        <w:t xml:space="preserve">waardoor </w:t>
      </w:r>
      <w:r w:rsidR="005E76BE" w:rsidRPr="004756A5">
        <w:t xml:space="preserve">nog niet of nauwelijks </w:t>
      </w:r>
      <w:r w:rsidR="00F723F6" w:rsidRPr="004756A5">
        <w:t>kon</w:t>
      </w:r>
      <w:r w:rsidR="009F33BD" w:rsidRPr="004756A5">
        <w:t xml:space="preserve"> </w:t>
      </w:r>
      <w:r w:rsidR="005E76BE" w:rsidRPr="004756A5">
        <w:t>worden gefactureerd.</w:t>
      </w:r>
      <w:r w:rsidR="0003283E">
        <w:t xml:space="preserve"> </w:t>
      </w:r>
      <w:r w:rsidR="00A97908" w:rsidRPr="004756A5">
        <w:t>V</w:t>
      </w:r>
      <w:r w:rsidR="00B5634A" w:rsidRPr="004756A5">
        <w:t>erzekeraars</w:t>
      </w:r>
      <w:r w:rsidR="005E76BE" w:rsidRPr="004756A5">
        <w:t xml:space="preserve"> </w:t>
      </w:r>
      <w:r w:rsidR="00A97908" w:rsidRPr="004756A5">
        <w:t xml:space="preserve">hebben gedurende 2022 </w:t>
      </w:r>
      <w:r w:rsidR="005E76BE" w:rsidRPr="004756A5">
        <w:t>voorschotten verstrekt</w:t>
      </w:r>
      <w:r w:rsidR="0003283E">
        <w:t xml:space="preserve"> op basis van geschatte productievolumes</w:t>
      </w:r>
      <w:r w:rsidR="005E76BE" w:rsidRPr="004756A5">
        <w:t xml:space="preserve">. </w:t>
      </w:r>
      <w:r w:rsidR="00A97908" w:rsidRPr="004756A5">
        <w:t xml:space="preserve"> </w:t>
      </w:r>
      <w:r w:rsidR="0003283E">
        <w:t>Gelet op de gelijk gebleven liquiditeitsratio heeft d</w:t>
      </w:r>
      <w:r w:rsidR="00A97908" w:rsidRPr="004756A5">
        <w:t>e overgang naar het zorgprestatiemodel in 2022 uiteindelijk</w:t>
      </w:r>
      <w:r w:rsidR="00454334">
        <w:t xml:space="preserve"> – vooral vanwege de verstrekte voorschotten –</w:t>
      </w:r>
      <w:r w:rsidR="00A97908" w:rsidRPr="004756A5">
        <w:t xml:space="preserve"> geen grote gevolgen voor de liquiditeitspositie gehad.</w:t>
      </w:r>
    </w:p>
    <w:p w14:paraId="7CB5E7F8" w14:textId="77777777" w:rsidR="005E76BE" w:rsidRDefault="005E76BE" w:rsidP="005E76BE">
      <w:pPr>
        <w:pStyle w:val="06Bodytekst"/>
        <w:jc w:val="both"/>
      </w:pPr>
    </w:p>
    <w:p w14:paraId="7D63BC5B" w14:textId="77777777" w:rsidR="005E76BE" w:rsidRDefault="005E76BE" w:rsidP="005E76BE">
      <w:pPr>
        <w:pStyle w:val="06Bodytekst"/>
        <w:rPr>
          <w:highlight w:val="yellow"/>
        </w:rPr>
      </w:pPr>
    </w:p>
    <w:p w14:paraId="763DF0AE" w14:textId="77777777" w:rsidR="005E76BE" w:rsidRDefault="005E76BE" w:rsidP="005E76BE">
      <w:pPr>
        <w:pStyle w:val="02Paragraafkop"/>
        <w:numPr>
          <w:ilvl w:val="1"/>
          <w:numId w:val="19"/>
        </w:numPr>
      </w:pPr>
      <w:bookmarkStart w:id="9" w:name="_Toc516563326"/>
      <w:bookmarkStart w:id="10" w:name="_Toc148100250"/>
      <w:r>
        <w:t>Solvabiliteit</w:t>
      </w:r>
      <w:bookmarkEnd w:id="9"/>
      <w:bookmarkEnd w:id="10"/>
    </w:p>
    <w:p w14:paraId="41474CB4" w14:textId="45150E08" w:rsidR="005E76BE" w:rsidRDefault="003C3525" w:rsidP="00BF5F61">
      <w:pPr>
        <w:pStyle w:val="06Bodytekst"/>
      </w:pPr>
      <w:r>
        <w:t>Het weerstandsvermogen</w:t>
      </w:r>
      <w:r w:rsidR="005E76BE">
        <w:rPr>
          <w:rStyle w:val="Voetnootmarkering"/>
        </w:rPr>
        <w:footnoteReference w:id="3"/>
      </w:r>
      <w:r w:rsidR="005E76BE">
        <w:t xml:space="preserve"> van de </w:t>
      </w:r>
      <w:r w:rsidR="00BA0EF6">
        <w:t>sector</w:t>
      </w:r>
      <w:r w:rsidR="005E76BE">
        <w:t xml:space="preserve"> is </w:t>
      </w:r>
      <w:r w:rsidR="00967976">
        <w:t>exact gelijk gebleven. In beide jaren</w:t>
      </w:r>
      <w:r w:rsidR="005E76BE">
        <w:t xml:space="preserve"> </w:t>
      </w:r>
      <w:r w:rsidR="00BC64F4">
        <w:t>25,9</w:t>
      </w:r>
      <w:r w:rsidR="005E76BE">
        <w:t>%. Dit wordt veroorzaakt door</w:t>
      </w:r>
      <w:r w:rsidR="003076EC">
        <w:t>dat zowel</w:t>
      </w:r>
      <w:r w:rsidR="005E76BE">
        <w:t xml:space="preserve"> het eigen vermogen </w:t>
      </w:r>
      <w:r w:rsidR="003076EC">
        <w:t>a</w:t>
      </w:r>
      <w:r w:rsidR="009B4206">
        <w:t>l</w:t>
      </w:r>
      <w:r w:rsidR="003076EC">
        <w:t xml:space="preserve">s de bedrijfsopbrengsten </w:t>
      </w:r>
      <w:r w:rsidR="007D2B4B">
        <w:t xml:space="preserve">beide met 4% zijn gestegen. </w:t>
      </w:r>
      <w:r w:rsidR="005E76BE">
        <w:t>De solvabiliteit uitgedrukt in de balansratio</w:t>
      </w:r>
      <w:r w:rsidR="005E76BE">
        <w:rPr>
          <w:rStyle w:val="Voetnootmarkering"/>
        </w:rPr>
        <w:footnoteReference w:id="4"/>
      </w:r>
      <w:r w:rsidR="005E76BE">
        <w:t xml:space="preserve">, is gestegen, namelijk van </w:t>
      </w:r>
      <w:r w:rsidR="00F3003A">
        <w:t>3</w:t>
      </w:r>
      <w:r w:rsidR="00E00A04">
        <w:t>7,5</w:t>
      </w:r>
      <w:r w:rsidR="005E76BE">
        <w:t>% in 202</w:t>
      </w:r>
      <w:r w:rsidR="00F3003A">
        <w:t>1</w:t>
      </w:r>
      <w:r w:rsidR="005E76BE">
        <w:t xml:space="preserve"> naar 38,</w:t>
      </w:r>
      <w:r w:rsidR="00E00A04">
        <w:t>0</w:t>
      </w:r>
      <w:r w:rsidR="005E76BE">
        <w:t>% in 202</w:t>
      </w:r>
      <w:r w:rsidR="00011A00">
        <w:t xml:space="preserve">2. </w:t>
      </w:r>
    </w:p>
    <w:p w14:paraId="67567B37" w14:textId="77777777" w:rsidR="005E76BE" w:rsidRDefault="005E76BE" w:rsidP="00BF5F61">
      <w:pPr>
        <w:pStyle w:val="06Bodytekst"/>
      </w:pPr>
    </w:p>
    <w:p w14:paraId="7BC1E769" w14:textId="37E02E31" w:rsidR="005E76BE" w:rsidRDefault="00366B23" w:rsidP="00BF5F61">
      <w:pPr>
        <w:pStyle w:val="06Bodytekst"/>
      </w:pPr>
      <w:r>
        <w:t xml:space="preserve">Het </w:t>
      </w:r>
      <w:r w:rsidR="005E76BE">
        <w:t xml:space="preserve"> aantal organisaties met een </w:t>
      </w:r>
      <w:r w:rsidR="003375E6">
        <w:t>weerstandsvermogen</w:t>
      </w:r>
      <w:r w:rsidR="003C3525">
        <w:rPr>
          <w:rStyle w:val="Voetnootmarkering"/>
        </w:rPr>
        <w:footnoteReference w:id="5"/>
      </w:r>
      <w:r w:rsidR="005E76BE">
        <w:t xml:space="preserve"> onder de 15% </w:t>
      </w:r>
      <w:r>
        <w:t>is nagenoeg gelijk gebleven</w:t>
      </w:r>
      <w:r w:rsidR="005E76BE">
        <w:t xml:space="preserve">, namelijk </w:t>
      </w:r>
      <w:r w:rsidR="007C0378">
        <w:t>6</w:t>
      </w:r>
      <w:r>
        <w:t>1 in 2022, en 60</w:t>
      </w:r>
      <w:r w:rsidR="005E76BE">
        <w:t xml:space="preserve"> organisaties</w:t>
      </w:r>
      <w:r>
        <w:t xml:space="preserve"> in 2021</w:t>
      </w:r>
      <w:r w:rsidR="005E76BE">
        <w:t>.</w:t>
      </w:r>
      <w:r w:rsidR="0034017E">
        <w:t xml:space="preserve"> In deze totalen zitten 55 </w:t>
      </w:r>
      <w:r w:rsidR="000D6475">
        <w:t>GGZ</w:t>
      </w:r>
      <w:r w:rsidR="0034017E">
        <w:t xml:space="preserve">-organisaties die in </w:t>
      </w:r>
      <w:r w:rsidR="0034017E">
        <w:lastRenderedPageBreak/>
        <w:t xml:space="preserve">beide jaren een weerstandsvermogen kleiner dan 15% hebben. </w:t>
      </w:r>
      <w:r w:rsidR="004A2126">
        <w:t>Van het totaal van 61 organisaties</w:t>
      </w:r>
      <w:r w:rsidR="005E76BE">
        <w:t xml:space="preserve"> zit het overgrote deel (85%) in de klein</w:t>
      </w:r>
      <w:r w:rsidR="00270B02">
        <w:t>e</w:t>
      </w:r>
      <w:r w:rsidR="005E76BE">
        <w:t xml:space="preserve"> omzetklasse tot € </w:t>
      </w:r>
      <w:r w:rsidR="00270B02">
        <w:t>25</w:t>
      </w:r>
      <w:r w:rsidR="005E76BE">
        <w:t xml:space="preserve"> </w:t>
      </w:r>
      <w:r w:rsidR="001018A2">
        <w:t>mln.</w:t>
      </w:r>
      <w:r w:rsidR="005E76BE">
        <w:t xml:space="preserve">, waardoor het nauwelijks invloed heeft op het </w:t>
      </w:r>
      <w:r w:rsidR="00FE774F">
        <w:t>sector</w:t>
      </w:r>
      <w:r w:rsidR="005E76BE">
        <w:t xml:space="preserve">totaal. </w:t>
      </w:r>
    </w:p>
    <w:p w14:paraId="58D79FB4" w14:textId="77777777" w:rsidR="005E76BE" w:rsidRDefault="005E76BE" w:rsidP="00BF5F61">
      <w:pPr>
        <w:pStyle w:val="06Bodytekst"/>
      </w:pPr>
    </w:p>
    <w:p w14:paraId="668B03E7" w14:textId="7E8727CF" w:rsidR="006C65B7" w:rsidRPr="00D74E60" w:rsidRDefault="005E76BE" w:rsidP="004A199E">
      <w:pPr>
        <w:pStyle w:val="06Bodytekst"/>
      </w:pPr>
      <w:r>
        <w:t>De loan-to-value geeft de verhouding weer tussen de langlopende leningen en de boekwaarde van bezittingen die met die leningen zijn gefinancierd. Voor de loan-to-value gelden geen duidelijke  algemene normen</w:t>
      </w:r>
      <w:r w:rsidR="00184F72">
        <w:t>. A</w:t>
      </w:r>
      <w:r>
        <w:t xml:space="preserve">ls het percentage hoger ligt dan 75%, dan is dit een indicatie dat bezittingen relatief zwaar zijn gefinancierd met lang vreemd vermogen. Bij de onderzochte GGZ-organisaties is de loan-to-value </w:t>
      </w:r>
      <w:r w:rsidR="001C2412">
        <w:t>gedaald</w:t>
      </w:r>
      <w:r>
        <w:t>. Eind 202</w:t>
      </w:r>
      <w:r w:rsidR="001C2412">
        <w:t>2</w:t>
      </w:r>
      <w:r>
        <w:t xml:space="preserve"> bedraagt deze namelijk </w:t>
      </w:r>
      <w:r w:rsidR="006B7E73">
        <w:t>51,3</w:t>
      </w:r>
      <w:r>
        <w:t>%, terwijl deze eind 202</w:t>
      </w:r>
      <w:r w:rsidR="001C2412">
        <w:t>1</w:t>
      </w:r>
      <w:r>
        <w:t xml:space="preserve"> </w:t>
      </w:r>
      <w:r w:rsidR="006B7E73">
        <w:t>55,3</w:t>
      </w:r>
      <w:r>
        <w:t xml:space="preserve">% bedroeg. Het totaal van de langlopende schulden </w:t>
      </w:r>
      <w:r w:rsidR="00057658">
        <w:t>daalt</w:t>
      </w:r>
      <w:r>
        <w:t xml:space="preserve"> in 202</w:t>
      </w:r>
      <w:r w:rsidR="00057658">
        <w:t>2</w:t>
      </w:r>
      <w:r>
        <w:t xml:space="preserve"> met </w:t>
      </w:r>
      <w:r w:rsidR="00A546FF">
        <w:t>6</w:t>
      </w:r>
      <w:r>
        <w:t>% van € 1.</w:t>
      </w:r>
      <w:r w:rsidR="00A546FF">
        <w:t>386</w:t>
      </w:r>
      <w:r>
        <w:t xml:space="preserve"> </w:t>
      </w:r>
      <w:r w:rsidR="001018A2">
        <w:t>mln.</w:t>
      </w:r>
      <w:r>
        <w:t xml:space="preserve"> eind 202</w:t>
      </w:r>
      <w:r w:rsidR="00A546FF">
        <w:t>1</w:t>
      </w:r>
      <w:r>
        <w:t xml:space="preserve"> naar € 1.</w:t>
      </w:r>
      <w:r w:rsidR="00B23AD8">
        <w:t>303</w:t>
      </w:r>
      <w:r>
        <w:t xml:space="preserve"> </w:t>
      </w:r>
      <w:r w:rsidR="001018A2">
        <w:t>mln.</w:t>
      </w:r>
      <w:r w:rsidR="00454334">
        <w:t xml:space="preserve"> </w:t>
      </w:r>
      <w:r w:rsidR="00B23AD8">
        <w:t>eind 2022</w:t>
      </w:r>
      <w:r>
        <w:t xml:space="preserve">. </w:t>
      </w:r>
      <w:r w:rsidR="00040BFA">
        <w:t xml:space="preserve">De boekwaarde van de vaste activa is nagenoeg gelijk gebleven. </w:t>
      </w:r>
      <w:r w:rsidR="009442CF">
        <w:t xml:space="preserve">Dit betekent dat </w:t>
      </w:r>
      <w:r w:rsidR="00F95917">
        <w:t>investeringen in vaste activa door</w:t>
      </w:r>
      <w:r w:rsidR="009442CF">
        <w:t xml:space="preserve"> </w:t>
      </w:r>
      <w:r w:rsidR="00BE113E">
        <w:t>GGZ</w:t>
      </w:r>
      <w:r w:rsidR="009442CF">
        <w:t xml:space="preserve">-aanbieders </w:t>
      </w:r>
      <w:r w:rsidR="00F95917">
        <w:t xml:space="preserve">in 2022 voornamelijk met eigen middelen zijn gefinancierd. </w:t>
      </w:r>
      <w:r>
        <w:t xml:space="preserve">Dit zorgt ervoor dat de loan-to-value bij de onderzochte organisaties </w:t>
      </w:r>
      <w:r w:rsidR="00B23AD8">
        <w:t>af</w:t>
      </w:r>
      <w:r w:rsidR="00BF5F61">
        <w:t>neemt</w:t>
      </w:r>
      <w:r>
        <w:t xml:space="preserve">. </w:t>
      </w:r>
      <w:r w:rsidR="006C65B7">
        <w:br w:type="page"/>
      </w:r>
    </w:p>
    <w:p w14:paraId="5FEA5E97" w14:textId="0193F0DB" w:rsidR="00C14406" w:rsidRPr="00F459FA" w:rsidRDefault="00C14406" w:rsidP="00C14406">
      <w:pPr>
        <w:pStyle w:val="01HoofdstukTitel"/>
      </w:pPr>
      <w:bookmarkStart w:id="11" w:name="_Toc148100251"/>
      <w:r w:rsidRPr="00F459FA">
        <w:lastRenderedPageBreak/>
        <w:t>Bedrijfslasten</w:t>
      </w:r>
      <w:bookmarkEnd w:id="11"/>
    </w:p>
    <w:p w14:paraId="67B2470A" w14:textId="36C7FF2D" w:rsidR="00B032CF" w:rsidRDefault="008C7E96" w:rsidP="008C7E96">
      <w:pPr>
        <w:pStyle w:val="06Bodytekst"/>
        <w:rPr>
          <w:color w:val="auto"/>
        </w:rPr>
      </w:pPr>
      <w:r w:rsidRPr="00F459FA">
        <w:rPr>
          <w:color w:val="auto"/>
        </w:rPr>
        <w:t xml:space="preserve">De </w:t>
      </w:r>
      <w:r w:rsidR="00E72981">
        <w:rPr>
          <w:color w:val="auto"/>
        </w:rPr>
        <w:t xml:space="preserve">onderzochte </w:t>
      </w:r>
      <w:r w:rsidRPr="00F459FA">
        <w:rPr>
          <w:color w:val="auto"/>
        </w:rPr>
        <w:t>GGZ-organisaties zien in 202</w:t>
      </w:r>
      <w:r w:rsidR="00FF0B2D" w:rsidRPr="00F459FA">
        <w:rPr>
          <w:color w:val="auto"/>
        </w:rPr>
        <w:t>2</w:t>
      </w:r>
      <w:r w:rsidRPr="00F459FA">
        <w:rPr>
          <w:color w:val="auto"/>
        </w:rPr>
        <w:t xml:space="preserve"> de bedrijfsopbrengsten met +</w:t>
      </w:r>
      <w:r w:rsidR="00FF0B2D" w:rsidRPr="00F459FA">
        <w:rPr>
          <w:color w:val="auto"/>
        </w:rPr>
        <w:t>3,</w:t>
      </w:r>
      <w:r w:rsidR="00E55CE3">
        <w:rPr>
          <w:color w:val="auto"/>
        </w:rPr>
        <w:t>6</w:t>
      </w:r>
      <w:r w:rsidR="00AF1E07" w:rsidRPr="00F459FA">
        <w:rPr>
          <w:color w:val="auto"/>
        </w:rPr>
        <w:t>%</w:t>
      </w:r>
      <w:r w:rsidRPr="00F459FA">
        <w:rPr>
          <w:color w:val="auto"/>
        </w:rPr>
        <w:t xml:space="preserve"> toenemen naar een totaal van € </w:t>
      </w:r>
      <w:r w:rsidR="009E59F2">
        <w:rPr>
          <w:color w:val="auto"/>
        </w:rPr>
        <w:t>8,6</w:t>
      </w:r>
      <w:r w:rsidRPr="00F459FA">
        <w:rPr>
          <w:color w:val="auto"/>
        </w:rPr>
        <w:t xml:space="preserve"> mld. </w:t>
      </w:r>
      <w:r w:rsidR="00382C35" w:rsidRPr="00F459FA">
        <w:rPr>
          <w:color w:val="auto"/>
        </w:rPr>
        <w:t xml:space="preserve">Dit gaat gepaard met een stijging van de </w:t>
      </w:r>
      <w:r w:rsidRPr="00F459FA">
        <w:rPr>
          <w:color w:val="auto"/>
        </w:rPr>
        <w:t>totale bedrijfslasten met +</w:t>
      </w:r>
      <w:r w:rsidR="00DD2BC7">
        <w:rPr>
          <w:color w:val="auto"/>
        </w:rPr>
        <w:t>5,</w:t>
      </w:r>
      <w:r w:rsidR="009E59F2">
        <w:rPr>
          <w:color w:val="auto"/>
        </w:rPr>
        <w:t>6</w:t>
      </w:r>
      <w:r w:rsidRPr="00F459FA">
        <w:rPr>
          <w:color w:val="auto"/>
        </w:rPr>
        <w:t xml:space="preserve">% naar € </w:t>
      </w:r>
      <w:r w:rsidR="008919D0">
        <w:rPr>
          <w:color w:val="auto"/>
        </w:rPr>
        <w:t>8,</w:t>
      </w:r>
      <w:r w:rsidR="00A844B2">
        <w:rPr>
          <w:color w:val="auto"/>
        </w:rPr>
        <w:t>5</w:t>
      </w:r>
      <w:r w:rsidRPr="00F459FA">
        <w:rPr>
          <w:color w:val="auto"/>
        </w:rPr>
        <w:t xml:space="preserve"> mld. </w:t>
      </w:r>
    </w:p>
    <w:p w14:paraId="16A77CD3" w14:textId="77777777" w:rsidR="00B032CF" w:rsidRDefault="00B032CF" w:rsidP="008C7E96">
      <w:pPr>
        <w:pStyle w:val="06Bodytekst"/>
        <w:rPr>
          <w:color w:val="auto"/>
        </w:rPr>
      </w:pPr>
    </w:p>
    <w:p w14:paraId="00D13BA0" w14:textId="47052568" w:rsidR="00B032CF" w:rsidRPr="00F459FA" w:rsidRDefault="00B032CF" w:rsidP="00B032CF">
      <w:pPr>
        <w:spacing w:after="160" w:line="250" w:lineRule="atLeast"/>
        <w:rPr>
          <w:color w:val="FF0000"/>
          <w:sz w:val="18"/>
          <w:szCs w:val="18"/>
        </w:rPr>
      </w:pPr>
      <w:r w:rsidRPr="00F459FA">
        <w:rPr>
          <w:sz w:val="18"/>
          <w:szCs w:val="18"/>
        </w:rPr>
        <w:t xml:space="preserve">Parnassia Groep is met een omzet van </w:t>
      </w:r>
      <w:r w:rsidR="00071C83">
        <w:rPr>
          <w:sz w:val="18"/>
          <w:szCs w:val="18"/>
        </w:rPr>
        <w:t>bijna</w:t>
      </w:r>
      <w:r w:rsidRPr="00F459FA">
        <w:rPr>
          <w:sz w:val="18"/>
          <w:szCs w:val="18"/>
        </w:rPr>
        <w:t xml:space="preserve"> € 1</w:t>
      </w:r>
      <w:r w:rsidR="00071C83">
        <w:rPr>
          <w:sz w:val="18"/>
          <w:szCs w:val="18"/>
        </w:rPr>
        <w:t>,2</w:t>
      </w:r>
      <w:r w:rsidRPr="00F459FA">
        <w:rPr>
          <w:sz w:val="18"/>
          <w:szCs w:val="18"/>
        </w:rPr>
        <w:t xml:space="preserve"> mld. veruit de grootste GGZ-organisatie en op vijf academische ziekenhuizen na, de grootste zorgorganisatie van Nederland. Binnen de GGZ-sector nemen de tien grootste organisaties met € 3,</w:t>
      </w:r>
      <w:r w:rsidR="00964490">
        <w:rPr>
          <w:sz w:val="18"/>
          <w:szCs w:val="18"/>
        </w:rPr>
        <w:t>4</w:t>
      </w:r>
      <w:r w:rsidRPr="00F459FA">
        <w:rPr>
          <w:sz w:val="18"/>
          <w:szCs w:val="18"/>
        </w:rPr>
        <w:t xml:space="preserve"> mld. omzet 3</w:t>
      </w:r>
      <w:r w:rsidR="002233A9">
        <w:rPr>
          <w:sz w:val="18"/>
          <w:szCs w:val="18"/>
        </w:rPr>
        <w:t>9</w:t>
      </w:r>
      <w:r w:rsidRPr="00F459FA">
        <w:rPr>
          <w:sz w:val="18"/>
          <w:szCs w:val="18"/>
        </w:rPr>
        <w:t xml:space="preserve">% van de totale bedrijfsopbrengsten in de sector voor hun rekening. </w:t>
      </w:r>
      <w:r w:rsidR="00ED549F">
        <w:rPr>
          <w:sz w:val="18"/>
          <w:szCs w:val="18"/>
        </w:rPr>
        <w:t>Hun aandeel is in 2022 verder toegenomen.</w:t>
      </w:r>
    </w:p>
    <w:p w14:paraId="75E9170E" w14:textId="77777777" w:rsidR="00B032CF" w:rsidRPr="00F459FA" w:rsidRDefault="00B032CF" w:rsidP="00B032CF">
      <w:pPr>
        <w:pStyle w:val="Bijschrift"/>
        <w:keepNext/>
        <w:rPr>
          <w:color w:val="FF0000"/>
        </w:rPr>
      </w:pPr>
    </w:p>
    <w:p w14:paraId="0A265B31" w14:textId="73811380" w:rsidR="00B032CF" w:rsidRPr="00F459FA" w:rsidRDefault="00B032CF" w:rsidP="00B032CF">
      <w:pPr>
        <w:pStyle w:val="Bijschrift"/>
        <w:keepNext/>
        <w:rPr>
          <w:color w:val="auto"/>
        </w:rPr>
      </w:pPr>
      <w:r w:rsidRPr="00F459FA">
        <w:rPr>
          <w:color w:val="auto"/>
        </w:rPr>
        <w:t xml:space="preserve">Figuur </w:t>
      </w:r>
      <w:r w:rsidRPr="00F459FA">
        <w:rPr>
          <w:color w:val="auto"/>
        </w:rPr>
        <w:fldChar w:fldCharType="begin"/>
      </w:r>
      <w:r w:rsidRPr="00F459FA">
        <w:rPr>
          <w:color w:val="auto"/>
        </w:rPr>
        <w:instrText xml:space="preserve"> SEQ Figuur \* ARABIC </w:instrText>
      </w:r>
      <w:r w:rsidRPr="00F459FA">
        <w:rPr>
          <w:color w:val="auto"/>
        </w:rPr>
        <w:fldChar w:fldCharType="separate"/>
      </w:r>
      <w:r>
        <w:rPr>
          <w:noProof/>
          <w:color w:val="auto"/>
        </w:rPr>
        <w:t>3</w:t>
      </w:r>
      <w:r w:rsidRPr="00F459FA">
        <w:rPr>
          <w:color w:val="auto"/>
        </w:rPr>
        <w:fldChar w:fldCharType="end"/>
      </w:r>
      <w:r w:rsidRPr="00F459FA">
        <w:rPr>
          <w:color w:val="auto"/>
        </w:rPr>
        <w:t xml:space="preserve"> Top-10 grootste zorgorganisaties in GGZ-sector</w:t>
      </w:r>
    </w:p>
    <w:tbl>
      <w:tblPr>
        <w:tblStyle w:val="Tabelraster"/>
        <w:tblW w:w="0" w:type="auto"/>
        <w:tblLook w:val="04A0" w:firstRow="1" w:lastRow="0" w:firstColumn="1" w:lastColumn="0" w:noHBand="0" w:noVBand="1"/>
      </w:tblPr>
      <w:tblGrid>
        <w:gridCol w:w="3828"/>
        <w:gridCol w:w="2551"/>
        <w:gridCol w:w="992"/>
        <w:gridCol w:w="709"/>
      </w:tblGrid>
      <w:tr w:rsidR="00B032CF" w:rsidRPr="00F459FA" w14:paraId="50316FB9" w14:textId="77777777" w:rsidTr="00C0324A">
        <w:trPr>
          <w:cnfStyle w:val="100000000000" w:firstRow="1" w:lastRow="0" w:firstColumn="0" w:lastColumn="0" w:oddVBand="0" w:evenVBand="0" w:oddHBand="0" w:evenHBand="0" w:firstRowFirstColumn="0" w:firstRowLastColumn="0" w:lastRowFirstColumn="0" w:lastRowLastColumn="0"/>
        </w:trPr>
        <w:tc>
          <w:tcPr>
            <w:tcW w:w="3828" w:type="dxa"/>
          </w:tcPr>
          <w:p w14:paraId="7C85236A" w14:textId="77777777" w:rsidR="00B032CF" w:rsidRPr="00F459FA" w:rsidRDefault="00B032CF" w:rsidP="00C0324A">
            <w:pPr>
              <w:pStyle w:val="06Bodytekst"/>
              <w:rPr>
                <w:color w:val="auto"/>
              </w:rPr>
            </w:pPr>
            <w:r w:rsidRPr="00F459FA">
              <w:rPr>
                <w:color w:val="auto"/>
              </w:rPr>
              <w:t>Organisatie</w:t>
            </w:r>
          </w:p>
        </w:tc>
        <w:tc>
          <w:tcPr>
            <w:tcW w:w="3543" w:type="dxa"/>
            <w:gridSpan w:val="2"/>
          </w:tcPr>
          <w:p w14:paraId="1AAC97B1" w14:textId="77777777" w:rsidR="00B032CF" w:rsidRPr="00F459FA" w:rsidRDefault="00B032CF" w:rsidP="00C0324A">
            <w:pPr>
              <w:pStyle w:val="06Bodytekst"/>
              <w:rPr>
                <w:color w:val="auto"/>
              </w:rPr>
            </w:pPr>
            <w:r w:rsidRPr="00F459FA">
              <w:rPr>
                <w:color w:val="auto"/>
              </w:rPr>
              <w:t>Som der bedrijfsopbrengsten</w:t>
            </w:r>
          </w:p>
        </w:tc>
        <w:tc>
          <w:tcPr>
            <w:tcW w:w="709" w:type="dxa"/>
          </w:tcPr>
          <w:p w14:paraId="6A441047" w14:textId="77777777" w:rsidR="00B032CF" w:rsidRPr="00F459FA" w:rsidRDefault="00B032CF" w:rsidP="00C0324A">
            <w:pPr>
              <w:pStyle w:val="06Bodytekst"/>
              <w:jc w:val="center"/>
              <w:rPr>
                <w:color w:val="auto"/>
              </w:rPr>
            </w:pPr>
          </w:p>
        </w:tc>
      </w:tr>
      <w:tr w:rsidR="00AE72A8" w:rsidRPr="00F459FA" w14:paraId="6BEFA6D9" w14:textId="77777777" w:rsidTr="00C0324A">
        <w:tc>
          <w:tcPr>
            <w:tcW w:w="3828" w:type="dxa"/>
            <w:tcBorders>
              <w:top w:val="single" w:sz="4" w:space="0" w:color="auto"/>
            </w:tcBorders>
          </w:tcPr>
          <w:p w14:paraId="1397F6AF" w14:textId="0C3EF0C6" w:rsidR="00AE72A8" w:rsidRPr="00CF0EC5" w:rsidRDefault="00AE72A8" w:rsidP="00AE72A8">
            <w:pPr>
              <w:pStyle w:val="06Bodytekst"/>
              <w:rPr>
                <w:color w:val="FF0000"/>
              </w:rPr>
            </w:pPr>
            <w:r w:rsidRPr="00C01241">
              <w:t>Parnassia Groep</w:t>
            </w:r>
          </w:p>
        </w:tc>
        <w:tc>
          <w:tcPr>
            <w:tcW w:w="2551" w:type="dxa"/>
            <w:tcBorders>
              <w:top w:val="single" w:sz="4" w:space="0" w:color="auto"/>
            </w:tcBorders>
          </w:tcPr>
          <w:p w14:paraId="47DF4F52" w14:textId="7BC2CCD6" w:rsidR="00AE72A8" w:rsidRPr="00CF0EC5" w:rsidRDefault="00AE72A8" w:rsidP="00AE72A8">
            <w:pPr>
              <w:pStyle w:val="06Bodytekst"/>
              <w:jc w:val="center"/>
              <w:rPr>
                <w:color w:val="FF0000"/>
              </w:rPr>
            </w:pPr>
            <w:r w:rsidRPr="00C01241">
              <w:t>€ 1.162.452.213</w:t>
            </w:r>
          </w:p>
        </w:tc>
        <w:tc>
          <w:tcPr>
            <w:tcW w:w="1701" w:type="dxa"/>
            <w:gridSpan w:val="2"/>
            <w:tcBorders>
              <w:top w:val="single" w:sz="4" w:space="0" w:color="auto"/>
            </w:tcBorders>
          </w:tcPr>
          <w:p w14:paraId="5CF2DC05" w14:textId="4DB8C9A7" w:rsidR="00AE72A8" w:rsidRPr="00F459FA" w:rsidRDefault="005B2B36" w:rsidP="00AE72A8">
            <w:pPr>
              <w:pStyle w:val="06Bodytekst"/>
              <w:rPr>
                <w:color w:val="00B050"/>
              </w:rPr>
            </w:pPr>
            <w:r w:rsidRPr="005B2B36">
              <w:rPr>
                <w:color w:val="00B050"/>
              </w:rPr>
              <w:sym w:font="Webdings" w:char="F035"/>
            </w:r>
            <w:r w:rsidR="00AE72A8" w:rsidRPr="005B2B36">
              <w:rPr>
                <w:color w:val="00B050"/>
              </w:rPr>
              <w:t>4,4%</w:t>
            </w:r>
          </w:p>
        </w:tc>
      </w:tr>
      <w:tr w:rsidR="00267DDC" w:rsidRPr="00F459FA" w14:paraId="4D421F36" w14:textId="77777777" w:rsidTr="00C0324A">
        <w:tc>
          <w:tcPr>
            <w:tcW w:w="3828" w:type="dxa"/>
          </w:tcPr>
          <w:p w14:paraId="63E0B669" w14:textId="6D048776" w:rsidR="00267DDC" w:rsidRPr="00CF0EC5" w:rsidRDefault="00267DDC" w:rsidP="00267DDC">
            <w:pPr>
              <w:pStyle w:val="06Bodytekst"/>
              <w:rPr>
                <w:color w:val="FF0000"/>
              </w:rPr>
            </w:pPr>
            <w:r w:rsidRPr="00083696">
              <w:t>Stichting Arkin</w:t>
            </w:r>
          </w:p>
        </w:tc>
        <w:tc>
          <w:tcPr>
            <w:tcW w:w="2551" w:type="dxa"/>
          </w:tcPr>
          <w:p w14:paraId="3EC2C36B" w14:textId="2C511752" w:rsidR="00267DDC" w:rsidRPr="00CF0EC5" w:rsidRDefault="00267DDC" w:rsidP="00267DDC">
            <w:pPr>
              <w:pStyle w:val="06Bodytekst"/>
              <w:jc w:val="center"/>
              <w:rPr>
                <w:color w:val="FF0000"/>
              </w:rPr>
            </w:pPr>
            <w:r w:rsidRPr="00083696">
              <w:t>€ 333.692.000</w:t>
            </w:r>
          </w:p>
        </w:tc>
        <w:tc>
          <w:tcPr>
            <w:tcW w:w="1701" w:type="dxa"/>
            <w:gridSpan w:val="2"/>
          </w:tcPr>
          <w:p w14:paraId="50CFC194" w14:textId="44829E24" w:rsidR="00267DDC" w:rsidRPr="005B2B36" w:rsidRDefault="005B2B36" w:rsidP="00267DDC">
            <w:pPr>
              <w:pStyle w:val="06Bodytekst"/>
              <w:rPr>
                <w:color w:val="00B050"/>
              </w:rPr>
            </w:pPr>
            <w:r w:rsidRPr="005B2B36">
              <w:rPr>
                <w:color w:val="00B050"/>
              </w:rPr>
              <w:sym w:font="Webdings" w:char="F035"/>
            </w:r>
            <w:r w:rsidR="00267DDC" w:rsidRPr="005B2B36">
              <w:rPr>
                <w:color w:val="00B050"/>
              </w:rPr>
              <w:t>3,0%</w:t>
            </w:r>
          </w:p>
        </w:tc>
      </w:tr>
      <w:tr w:rsidR="0049729E" w:rsidRPr="00F459FA" w14:paraId="40AF335E" w14:textId="77777777" w:rsidTr="00C0324A">
        <w:trPr>
          <w:trHeight w:val="256"/>
        </w:trPr>
        <w:tc>
          <w:tcPr>
            <w:tcW w:w="3828" w:type="dxa"/>
          </w:tcPr>
          <w:p w14:paraId="44574521" w14:textId="479D9E42" w:rsidR="0049729E" w:rsidRPr="00CF0EC5" w:rsidRDefault="0049729E" w:rsidP="0049729E">
            <w:pPr>
              <w:pStyle w:val="06Bodytekst"/>
              <w:rPr>
                <w:color w:val="FF0000"/>
              </w:rPr>
            </w:pPr>
            <w:r w:rsidRPr="00434ACE">
              <w:t>Lentis</w:t>
            </w:r>
          </w:p>
        </w:tc>
        <w:tc>
          <w:tcPr>
            <w:tcW w:w="2551" w:type="dxa"/>
          </w:tcPr>
          <w:p w14:paraId="6303D076" w14:textId="3149D314" w:rsidR="0049729E" w:rsidRPr="00CF0EC5" w:rsidRDefault="0049729E" w:rsidP="0049729E">
            <w:pPr>
              <w:pStyle w:val="06Bodytekst"/>
              <w:jc w:val="center"/>
              <w:rPr>
                <w:color w:val="FF0000"/>
              </w:rPr>
            </w:pPr>
            <w:r w:rsidRPr="00434ACE">
              <w:t>€ 284.530.109</w:t>
            </w:r>
          </w:p>
        </w:tc>
        <w:tc>
          <w:tcPr>
            <w:tcW w:w="1701" w:type="dxa"/>
            <w:gridSpan w:val="2"/>
          </w:tcPr>
          <w:p w14:paraId="24613807" w14:textId="40C29457" w:rsidR="0049729E" w:rsidRPr="005B2B36" w:rsidRDefault="005B2B36" w:rsidP="0049729E">
            <w:pPr>
              <w:pStyle w:val="06Bodytekst"/>
              <w:rPr>
                <w:color w:val="00B050"/>
                <w:szCs w:val="18"/>
              </w:rPr>
            </w:pPr>
            <w:r w:rsidRPr="005B2B36">
              <w:rPr>
                <w:color w:val="00B050"/>
              </w:rPr>
              <w:sym w:font="Webdings" w:char="F035"/>
            </w:r>
            <w:r w:rsidR="0049729E" w:rsidRPr="005B2B36">
              <w:rPr>
                <w:color w:val="00B050"/>
              </w:rPr>
              <w:t>0,8%</w:t>
            </w:r>
          </w:p>
        </w:tc>
      </w:tr>
      <w:tr w:rsidR="00BE1722" w:rsidRPr="00F459FA" w14:paraId="5063FF76" w14:textId="77777777" w:rsidTr="00C0324A">
        <w:tc>
          <w:tcPr>
            <w:tcW w:w="3828" w:type="dxa"/>
          </w:tcPr>
          <w:p w14:paraId="1C527A49" w14:textId="71E6223F" w:rsidR="00BE1722" w:rsidRPr="00CF0EC5" w:rsidRDefault="000C2F85" w:rsidP="00BE1722">
            <w:pPr>
              <w:pStyle w:val="06Bodytekst"/>
              <w:rPr>
                <w:color w:val="FF0000"/>
              </w:rPr>
            </w:pPr>
            <w:r>
              <w:t xml:space="preserve">Stichting </w:t>
            </w:r>
            <w:r w:rsidR="00BE1722" w:rsidRPr="000250EE">
              <w:t>Pro Persona</w:t>
            </w:r>
          </w:p>
        </w:tc>
        <w:tc>
          <w:tcPr>
            <w:tcW w:w="2551" w:type="dxa"/>
          </w:tcPr>
          <w:p w14:paraId="232A13E5" w14:textId="7CE34FC0" w:rsidR="00BE1722" w:rsidRPr="00CF0EC5" w:rsidRDefault="00BE1722" w:rsidP="00BE1722">
            <w:pPr>
              <w:pStyle w:val="06Bodytekst"/>
              <w:jc w:val="center"/>
              <w:rPr>
                <w:color w:val="FF0000"/>
              </w:rPr>
            </w:pPr>
            <w:r w:rsidRPr="000250EE">
              <w:t>€ 277.242.000</w:t>
            </w:r>
          </w:p>
        </w:tc>
        <w:tc>
          <w:tcPr>
            <w:tcW w:w="1701" w:type="dxa"/>
            <w:gridSpan w:val="2"/>
          </w:tcPr>
          <w:p w14:paraId="2049F5B6" w14:textId="03C1A247" w:rsidR="00BE1722" w:rsidRPr="005B2B36" w:rsidRDefault="005B2B36" w:rsidP="00BE1722">
            <w:pPr>
              <w:pStyle w:val="06Bodytekst"/>
              <w:rPr>
                <w:color w:val="00B050"/>
              </w:rPr>
            </w:pPr>
            <w:r w:rsidRPr="005B2B36">
              <w:rPr>
                <w:color w:val="00B050"/>
              </w:rPr>
              <w:sym w:font="Webdings" w:char="F035"/>
            </w:r>
            <w:r w:rsidR="00BE1722" w:rsidRPr="005B2B36">
              <w:rPr>
                <w:color w:val="00B050"/>
              </w:rPr>
              <w:t>5,7%</w:t>
            </w:r>
          </w:p>
        </w:tc>
      </w:tr>
      <w:tr w:rsidR="009F4786" w:rsidRPr="00F459FA" w14:paraId="099DBBC8" w14:textId="77777777" w:rsidTr="00C0324A">
        <w:tc>
          <w:tcPr>
            <w:tcW w:w="3828" w:type="dxa"/>
          </w:tcPr>
          <w:p w14:paraId="274C427C" w14:textId="7DBDABFB" w:rsidR="009F4786" w:rsidRPr="00CF0EC5" w:rsidRDefault="009F4786" w:rsidP="009F4786">
            <w:pPr>
              <w:pStyle w:val="06Bodytekst"/>
              <w:rPr>
                <w:color w:val="FF0000"/>
              </w:rPr>
            </w:pPr>
            <w:r w:rsidRPr="00A823FB">
              <w:t>Stichting GGz Centraal</w:t>
            </w:r>
          </w:p>
        </w:tc>
        <w:tc>
          <w:tcPr>
            <w:tcW w:w="2551" w:type="dxa"/>
          </w:tcPr>
          <w:p w14:paraId="339F691D" w14:textId="52D7D7AA" w:rsidR="009F4786" w:rsidRPr="00CF0EC5" w:rsidRDefault="009F4786" w:rsidP="009F4786">
            <w:pPr>
              <w:pStyle w:val="06Bodytekst"/>
              <w:jc w:val="center"/>
              <w:rPr>
                <w:color w:val="FF0000"/>
              </w:rPr>
            </w:pPr>
            <w:r w:rsidRPr="00A823FB">
              <w:t>€ 263.036.816</w:t>
            </w:r>
          </w:p>
        </w:tc>
        <w:tc>
          <w:tcPr>
            <w:tcW w:w="1701" w:type="dxa"/>
            <w:gridSpan w:val="2"/>
          </w:tcPr>
          <w:p w14:paraId="05903DC1" w14:textId="367B3B03" w:rsidR="009F4786" w:rsidRPr="005B2B36" w:rsidRDefault="005B2B36" w:rsidP="009F4786">
            <w:pPr>
              <w:pStyle w:val="06Bodytekst"/>
              <w:rPr>
                <w:color w:val="00B050"/>
              </w:rPr>
            </w:pPr>
            <w:r w:rsidRPr="005B2B36">
              <w:rPr>
                <w:color w:val="00B050"/>
              </w:rPr>
              <w:sym w:font="Webdings" w:char="F035"/>
            </w:r>
            <w:r w:rsidR="009F4786" w:rsidRPr="005B2B36">
              <w:rPr>
                <w:color w:val="00B050"/>
              </w:rPr>
              <w:t>3,6%</w:t>
            </w:r>
          </w:p>
        </w:tc>
      </w:tr>
      <w:tr w:rsidR="009F4786" w:rsidRPr="00F459FA" w14:paraId="0ECA0DE2" w14:textId="77777777" w:rsidTr="00C0324A">
        <w:tc>
          <w:tcPr>
            <w:tcW w:w="3828" w:type="dxa"/>
          </w:tcPr>
          <w:p w14:paraId="033990A5" w14:textId="1DFF370F" w:rsidR="009F4786" w:rsidRPr="00CF0EC5" w:rsidRDefault="009F4786" w:rsidP="009F4786">
            <w:pPr>
              <w:pStyle w:val="06Bodytekst"/>
              <w:rPr>
                <w:color w:val="FF0000"/>
              </w:rPr>
            </w:pPr>
            <w:r w:rsidRPr="00D51A24">
              <w:t>Stichting Altrecht</w:t>
            </w:r>
          </w:p>
        </w:tc>
        <w:tc>
          <w:tcPr>
            <w:tcW w:w="2551" w:type="dxa"/>
          </w:tcPr>
          <w:p w14:paraId="526ECB21" w14:textId="2A73242B" w:rsidR="009F4786" w:rsidRPr="00CF0EC5" w:rsidRDefault="009F4786" w:rsidP="009F4786">
            <w:pPr>
              <w:pStyle w:val="06Bodytekst"/>
              <w:jc w:val="center"/>
              <w:rPr>
                <w:color w:val="FF0000"/>
              </w:rPr>
            </w:pPr>
            <w:r w:rsidRPr="00D51A24">
              <w:t>€ 242.070.000</w:t>
            </w:r>
          </w:p>
        </w:tc>
        <w:tc>
          <w:tcPr>
            <w:tcW w:w="1701" w:type="dxa"/>
            <w:gridSpan w:val="2"/>
          </w:tcPr>
          <w:p w14:paraId="7F738BE0" w14:textId="451CD9D1" w:rsidR="009F4786" w:rsidRPr="005B2B36" w:rsidRDefault="005B2B36" w:rsidP="009F4786">
            <w:pPr>
              <w:pStyle w:val="06Bodytekst"/>
              <w:rPr>
                <w:color w:val="FF0000"/>
              </w:rPr>
            </w:pPr>
            <w:r w:rsidRPr="005B2B36">
              <w:rPr>
                <w:color w:val="FF0000"/>
              </w:rPr>
              <w:sym w:font="Webdings" w:char="F036"/>
            </w:r>
            <w:r w:rsidR="009F4786" w:rsidRPr="005B2B36">
              <w:rPr>
                <w:color w:val="FF0000"/>
              </w:rPr>
              <w:t>-8,8%</w:t>
            </w:r>
          </w:p>
        </w:tc>
      </w:tr>
      <w:tr w:rsidR="009F4786" w:rsidRPr="00F459FA" w14:paraId="512B2A2F" w14:textId="77777777" w:rsidTr="00C0324A">
        <w:tc>
          <w:tcPr>
            <w:tcW w:w="3828" w:type="dxa"/>
          </w:tcPr>
          <w:p w14:paraId="7883542A" w14:textId="309FBAD4" w:rsidR="009F4786" w:rsidRPr="00CF0EC5" w:rsidRDefault="009F4786" w:rsidP="009F4786">
            <w:pPr>
              <w:pStyle w:val="06Bodytekst"/>
              <w:rPr>
                <w:color w:val="FF0000"/>
              </w:rPr>
            </w:pPr>
            <w:r w:rsidRPr="00503742">
              <w:t>Stichting Dimence Groep</w:t>
            </w:r>
          </w:p>
        </w:tc>
        <w:tc>
          <w:tcPr>
            <w:tcW w:w="2551" w:type="dxa"/>
          </w:tcPr>
          <w:p w14:paraId="6140D0E2" w14:textId="789DD539" w:rsidR="009F4786" w:rsidRPr="00CF0EC5" w:rsidRDefault="009F4786" w:rsidP="009F4786">
            <w:pPr>
              <w:pStyle w:val="06Bodytekst"/>
              <w:jc w:val="center"/>
              <w:rPr>
                <w:color w:val="FF0000"/>
              </w:rPr>
            </w:pPr>
            <w:r w:rsidRPr="00503742">
              <w:t>€ 223.356.834</w:t>
            </w:r>
          </w:p>
        </w:tc>
        <w:tc>
          <w:tcPr>
            <w:tcW w:w="1701" w:type="dxa"/>
            <w:gridSpan w:val="2"/>
          </w:tcPr>
          <w:p w14:paraId="0E9A513C" w14:textId="7EDD1212" w:rsidR="009F4786" w:rsidRPr="005B2B36" w:rsidRDefault="005B2B36" w:rsidP="009F4786">
            <w:pPr>
              <w:pStyle w:val="06Bodytekst"/>
              <w:rPr>
                <w:color w:val="FF0000"/>
              </w:rPr>
            </w:pPr>
            <w:r w:rsidRPr="005B2B36">
              <w:rPr>
                <w:color w:val="FF0000"/>
              </w:rPr>
              <w:sym w:font="Webdings" w:char="F036"/>
            </w:r>
            <w:r w:rsidR="009F4786" w:rsidRPr="005B2B36">
              <w:rPr>
                <w:color w:val="FF0000"/>
              </w:rPr>
              <w:t>-0,2%</w:t>
            </w:r>
          </w:p>
        </w:tc>
      </w:tr>
      <w:tr w:rsidR="007A3BA2" w:rsidRPr="00F459FA" w14:paraId="575BF384" w14:textId="77777777" w:rsidTr="00C0324A">
        <w:tc>
          <w:tcPr>
            <w:tcW w:w="3828" w:type="dxa"/>
          </w:tcPr>
          <w:p w14:paraId="7FFE4089" w14:textId="478A0383" w:rsidR="007A3BA2" w:rsidRPr="00CF0EC5" w:rsidRDefault="007A3BA2" w:rsidP="007A3BA2">
            <w:pPr>
              <w:pStyle w:val="06Bodytekst"/>
              <w:rPr>
                <w:color w:val="FF0000"/>
              </w:rPr>
            </w:pPr>
            <w:r w:rsidRPr="00016E80">
              <w:t>Stichting GGzE</w:t>
            </w:r>
          </w:p>
        </w:tc>
        <w:tc>
          <w:tcPr>
            <w:tcW w:w="2551" w:type="dxa"/>
          </w:tcPr>
          <w:p w14:paraId="57FEC473" w14:textId="16E45EEF" w:rsidR="007A3BA2" w:rsidRPr="00CF0EC5" w:rsidRDefault="007A3BA2" w:rsidP="007A3BA2">
            <w:pPr>
              <w:pStyle w:val="06Bodytekst"/>
              <w:jc w:val="center"/>
              <w:rPr>
                <w:color w:val="FF0000"/>
              </w:rPr>
            </w:pPr>
            <w:r w:rsidRPr="00016E80">
              <w:t>€ 211.110.449</w:t>
            </w:r>
          </w:p>
        </w:tc>
        <w:tc>
          <w:tcPr>
            <w:tcW w:w="1701" w:type="dxa"/>
            <w:gridSpan w:val="2"/>
          </w:tcPr>
          <w:p w14:paraId="63C35335" w14:textId="3093A4ED" w:rsidR="007A3BA2" w:rsidRPr="005B2B36" w:rsidRDefault="005B2B36" w:rsidP="007A3BA2">
            <w:pPr>
              <w:pStyle w:val="06Bodytekst"/>
              <w:rPr>
                <w:color w:val="00B050"/>
              </w:rPr>
            </w:pPr>
            <w:r w:rsidRPr="005B2B36">
              <w:rPr>
                <w:color w:val="00B050"/>
              </w:rPr>
              <w:sym w:font="Webdings" w:char="F035"/>
            </w:r>
            <w:r w:rsidR="007A3BA2" w:rsidRPr="005B2B36">
              <w:rPr>
                <w:color w:val="00B050"/>
              </w:rPr>
              <w:t>4,0%</w:t>
            </w:r>
          </w:p>
        </w:tc>
      </w:tr>
      <w:tr w:rsidR="007A3BA2" w:rsidRPr="00F459FA" w14:paraId="7DBC984D" w14:textId="77777777" w:rsidTr="00C0324A">
        <w:tc>
          <w:tcPr>
            <w:tcW w:w="3828" w:type="dxa"/>
          </w:tcPr>
          <w:p w14:paraId="7D99F1EE" w14:textId="35ABDC84" w:rsidR="007A3BA2" w:rsidRPr="00CF0EC5" w:rsidRDefault="002352EB" w:rsidP="007A3BA2">
            <w:pPr>
              <w:pStyle w:val="06Bodytekst"/>
              <w:rPr>
                <w:color w:val="FF0000"/>
              </w:rPr>
            </w:pPr>
            <w:r w:rsidRPr="002352EB">
              <w:t>Stichting Pameijer</w:t>
            </w:r>
          </w:p>
        </w:tc>
        <w:tc>
          <w:tcPr>
            <w:tcW w:w="2551" w:type="dxa"/>
          </w:tcPr>
          <w:p w14:paraId="15E335A5" w14:textId="17B5185F" w:rsidR="007A3BA2" w:rsidRPr="00CF0EC5" w:rsidRDefault="000C3259" w:rsidP="007A3BA2">
            <w:pPr>
              <w:pStyle w:val="06Bodytekst"/>
              <w:jc w:val="center"/>
              <w:rPr>
                <w:color w:val="FF0000"/>
              </w:rPr>
            </w:pPr>
            <w:r w:rsidRPr="000C3259">
              <w:t>€ 191.561.005</w:t>
            </w:r>
          </w:p>
        </w:tc>
        <w:tc>
          <w:tcPr>
            <w:tcW w:w="1701" w:type="dxa"/>
            <w:gridSpan w:val="2"/>
          </w:tcPr>
          <w:p w14:paraId="488DA9EC" w14:textId="0F5F7387" w:rsidR="007A3BA2" w:rsidRPr="005B2B36" w:rsidRDefault="005B2B36" w:rsidP="007A3BA2">
            <w:pPr>
              <w:pStyle w:val="06Bodytekst"/>
              <w:rPr>
                <w:color w:val="00B050"/>
              </w:rPr>
            </w:pPr>
            <w:r w:rsidRPr="005B2B36">
              <w:rPr>
                <w:color w:val="00B050"/>
              </w:rPr>
              <w:sym w:font="Webdings" w:char="F035"/>
            </w:r>
            <w:r w:rsidR="00A00231" w:rsidRPr="00A00231">
              <w:rPr>
                <w:color w:val="00B050"/>
              </w:rPr>
              <w:t>2,3</w:t>
            </w:r>
            <w:r w:rsidR="007A3BA2" w:rsidRPr="005B2B36">
              <w:rPr>
                <w:color w:val="00B050"/>
              </w:rPr>
              <w:t>%</w:t>
            </w:r>
          </w:p>
        </w:tc>
      </w:tr>
      <w:tr w:rsidR="005F6888" w:rsidRPr="00F459FA" w14:paraId="15FDF08E" w14:textId="77777777" w:rsidTr="00C0324A">
        <w:tc>
          <w:tcPr>
            <w:tcW w:w="3828" w:type="dxa"/>
          </w:tcPr>
          <w:p w14:paraId="2B1FAD08" w14:textId="14939B96" w:rsidR="005F6888" w:rsidRPr="002352EB" w:rsidRDefault="00684180" w:rsidP="007A3BA2">
            <w:pPr>
              <w:pStyle w:val="06Bodytekst"/>
            </w:pPr>
            <w:r w:rsidRPr="00684180">
              <w:t>Stichting Rivierduinen</w:t>
            </w:r>
          </w:p>
        </w:tc>
        <w:tc>
          <w:tcPr>
            <w:tcW w:w="2551" w:type="dxa"/>
          </w:tcPr>
          <w:p w14:paraId="793DD99B" w14:textId="1B0F2BF5" w:rsidR="005F6888" w:rsidRPr="000C3259" w:rsidRDefault="00684180" w:rsidP="007A3BA2">
            <w:pPr>
              <w:pStyle w:val="06Bodytekst"/>
              <w:jc w:val="center"/>
            </w:pPr>
            <w:r w:rsidRPr="00684180">
              <w:t>€ 190.968.000</w:t>
            </w:r>
          </w:p>
        </w:tc>
        <w:tc>
          <w:tcPr>
            <w:tcW w:w="1701" w:type="dxa"/>
            <w:gridSpan w:val="2"/>
          </w:tcPr>
          <w:p w14:paraId="54D1F702" w14:textId="7CF4F0E6" w:rsidR="005F6888" w:rsidRPr="005B2B36" w:rsidRDefault="00AB54C0" w:rsidP="007A3BA2">
            <w:pPr>
              <w:pStyle w:val="06Bodytekst"/>
              <w:rPr>
                <w:color w:val="00B050"/>
              </w:rPr>
            </w:pPr>
            <w:r w:rsidRPr="00AB54C0">
              <w:rPr>
                <w:color w:val="FF0000"/>
              </w:rPr>
              <w:sym w:font="Webdings" w:char="F036"/>
            </w:r>
            <w:r w:rsidRPr="00AB54C0">
              <w:rPr>
                <w:color w:val="FF0000"/>
              </w:rPr>
              <w:t>0,3%</w:t>
            </w:r>
          </w:p>
        </w:tc>
      </w:tr>
      <w:tr w:rsidR="00B032CF" w:rsidRPr="00F459FA" w14:paraId="42A5BD91" w14:textId="77777777" w:rsidTr="00C0324A">
        <w:tc>
          <w:tcPr>
            <w:tcW w:w="3828" w:type="dxa"/>
            <w:tcBorders>
              <w:top w:val="single" w:sz="4" w:space="0" w:color="auto"/>
            </w:tcBorders>
          </w:tcPr>
          <w:p w14:paraId="472BAC72" w14:textId="77777777" w:rsidR="00B032CF" w:rsidRPr="00F459FA" w:rsidRDefault="00B032CF" w:rsidP="00C0324A">
            <w:pPr>
              <w:pStyle w:val="06Bodytekst"/>
              <w:rPr>
                <w:color w:val="FF0000"/>
              </w:rPr>
            </w:pPr>
          </w:p>
        </w:tc>
        <w:tc>
          <w:tcPr>
            <w:tcW w:w="3543" w:type="dxa"/>
            <w:gridSpan w:val="2"/>
            <w:tcBorders>
              <w:top w:val="single" w:sz="4" w:space="0" w:color="auto"/>
            </w:tcBorders>
          </w:tcPr>
          <w:p w14:paraId="71836F99" w14:textId="77777777" w:rsidR="00B032CF" w:rsidRPr="00F459FA" w:rsidRDefault="00B032CF" w:rsidP="00C0324A">
            <w:pPr>
              <w:pStyle w:val="06Bodytekst"/>
              <w:rPr>
                <w:color w:val="FF0000"/>
              </w:rPr>
            </w:pPr>
          </w:p>
        </w:tc>
        <w:tc>
          <w:tcPr>
            <w:tcW w:w="709" w:type="dxa"/>
            <w:tcBorders>
              <w:top w:val="single" w:sz="4" w:space="0" w:color="auto"/>
            </w:tcBorders>
          </w:tcPr>
          <w:p w14:paraId="5A5D26C8" w14:textId="77777777" w:rsidR="00B032CF" w:rsidRPr="00F459FA" w:rsidRDefault="00B032CF" w:rsidP="00C0324A">
            <w:pPr>
              <w:pStyle w:val="06Bodytekst"/>
              <w:rPr>
                <w:color w:val="FF0000"/>
              </w:rPr>
            </w:pPr>
          </w:p>
        </w:tc>
      </w:tr>
    </w:tbl>
    <w:p w14:paraId="04DF2D15" w14:textId="77777777" w:rsidR="00B032CF" w:rsidRDefault="00B032CF" w:rsidP="008C7E96">
      <w:pPr>
        <w:pStyle w:val="06Bodytekst"/>
        <w:rPr>
          <w:color w:val="auto"/>
        </w:rPr>
      </w:pPr>
    </w:p>
    <w:p w14:paraId="43C953A1" w14:textId="2D26A2BF" w:rsidR="008C7E96" w:rsidRPr="00F459FA" w:rsidRDefault="00133485" w:rsidP="008C7E96">
      <w:pPr>
        <w:pStyle w:val="06Bodytekst"/>
        <w:rPr>
          <w:color w:val="auto"/>
        </w:rPr>
      </w:pPr>
      <w:r w:rsidRPr="00F459FA">
        <w:rPr>
          <w:color w:val="auto"/>
        </w:rPr>
        <w:t xml:space="preserve">Doordat de </w:t>
      </w:r>
      <w:r w:rsidR="00EC792F">
        <w:rPr>
          <w:color w:val="auto"/>
        </w:rPr>
        <w:t>bedrijfslasten</w:t>
      </w:r>
      <w:r w:rsidRPr="00F459FA">
        <w:rPr>
          <w:color w:val="auto"/>
        </w:rPr>
        <w:t xml:space="preserve"> sterker stijg</w:t>
      </w:r>
      <w:r w:rsidR="00EC792F">
        <w:rPr>
          <w:color w:val="auto"/>
        </w:rPr>
        <w:t>en</w:t>
      </w:r>
      <w:r w:rsidRPr="00F459FA">
        <w:rPr>
          <w:color w:val="auto"/>
        </w:rPr>
        <w:t xml:space="preserve"> dan de </w:t>
      </w:r>
      <w:r w:rsidR="00EC792F">
        <w:rPr>
          <w:color w:val="auto"/>
        </w:rPr>
        <w:t>omzet</w:t>
      </w:r>
      <w:r w:rsidRPr="00F459FA">
        <w:rPr>
          <w:color w:val="auto"/>
        </w:rPr>
        <w:t xml:space="preserve"> is het rendement van de sector in 202</w:t>
      </w:r>
      <w:r w:rsidR="004D3894">
        <w:rPr>
          <w:color w:val="auto"/>
        </w:rPr>
        <w:t>2</w:t>
      </w:r>
      <w:r w:rsidRPr="00F459FA">
        <w:rPr>
          <w:color w:val="auto"/>
        </w:rPr>
        <w:t xml:space="preserve"> </w:t>
      </w:r>
      <w:r w:rsidR="004D3894">
        <w:rPr>
          <w:color w:val="auto"/>
        </w:rPr>
        <w:t>flink afgenomen</w:t>
      </w:r>
      <w:r w:rsidR="008D6A18">
        <w:rPr>
          <w:color w:val="auto"/>
        </w:rPr>
        <w:t>:</w:t>
      </w:r>
      <w:r w:rsidR="004C43FB">
        <w:rPr>
          <w:color w:val="auto"/>
        </w:rPr>
        <w:t xml:space="preserve"> van </w:t>
      </w:r>
      <w:r w:rsidR="004C43FB">
        <w:t>€ 21</w:t>
      </w:r>
      <w:r w:rsidR="006207B5">
        <w:t>3</w:t>
      </w:r>
      <w:r w:rsidR="004C43FB">
        <w:t xml:space="preserve"> mln. in 2021 naar € </w:t>
      </w:r>
      <w:r w:rsidR="006207B5">
        <w:t>56</w:t>
      </w:r>
      <w:r w:rsidR="004C43FB">
        <w:t xml:space="preserve"> mln. in 2022</w:t>
      </w:r>
      <w:r w:rsidR="008D6A18">
        <w:t>. Dit is</w:t>
      </w:r>
      <w:r w:rsidR="008070C9">
        <w:t xml:space="preserve"> een daling van € </w:t>
      </w:r>
      <w:r w:rsidR="005F1018">
        <w:t xml:space="preserve">157 </w:t>
      </w:r>
      <w:r w:rsidR="008070C9">
        <w:t>mln.</w:t>
      </w:r>
      <w:r w:rsidR="004C43FB">
        <w:t xml:space="preserve"> </w:t>
      </w:r>
      <w:r w:rsidR="0052031A">
        <w:rPr>
          <w:color w:val="auto"/>
        </w:rPr>
        <w:t xml:space="preserve">Het hogere </w:t>
      </w:r>
      <w:r w:rsidR="00814C0A">
        <w:rPr>
          <w:color w:val="auto"/>
        </w:rPr>
        <w:t xml:space="preserve">resultaat in 2021 </w:t>
      </w:r>
      <w:r w:rsidR="008C46E9">
        <w:rPr>
          <w:color w:val="auto"/>
        </w:rPr>
        <w:t xml:space="preserve">kwam </w:t>
      </w:r>
      <w:r w:rsidR="001F7E3F">
        <w:rPr>
          <w:color w:val="auto"/>
        </w:rPr>
        <w:t>vooral</w:t>
      </w:r>
      <w:r w:rsidR="008C46E9">
        <w:rPr>
          <w:color w:val="auto"/>
        </w:rPr>
        <w:t xml:space="preserve"> door</w:t>
      </w:r>
      <w:r w:rsidR="00B62FE2" w:rsidRPr="00F459FA">
        <w:rPr>
          <w:color w:val="auto"/>
        </w:rPr>
        <w:t xml:space="preserve"> incidentele boekwinsten</w:t>
      </w:r>
      <w:r w:rsidR="0063759E" w:rsidRPr="00F459FA">
        <w:rPr>
          <w:color w:val="auto"/>
        </w:rPr>
        <w:t xml:space="preserve"> </w:t>
      </w:r>
      <w:r w:rsidR="008C46E9">
        <w:rPr>
          <w:color w:val="auto"/>
        </w:rPr>
        <w:t>als gevolg van</w:t>
      </w:r>
      <w:r w:rsidR="0063759E" w:rsidRPr="00F459FA">
        <w:rPr>
          <w:color w:val="auto"/>
        </w:rPr>
        <w:t xml:space="preserve"> de verkoop van vastgoed.</w:t>
      </w:r>
    </w:p>
    <w:p w14:paraId="1D9A24E4" w14:textId="77777777" w:rsidR="008C7E96" w:rsidRPr="00F459FA" w:rsidRDefault="008C7E96" w:rsidP="008C7E96">
      <w:pPr>
        <w:pStyle w:val="06Bodytekst"/>
        <w:rPr>
          <w:color w:val="FF0000"/>
        </w:rPr>
      </w:pPr>
    </w:p>
    <w:p w14:paraId="3D85EF15" w14:textId="21867471" w:rsidR="008C7E96" w:rsidRPr="00F459FA" w:rsidRDefault="008C7E96" w:rsidP="008C7E96">
      <w:pPr>
        <w:pStyle w:val="Bijschrift"/>
        <w:keepNext/>
        <w:rPr>
          <w:color w:val="FF0000"/>
        </w:rPr>
      </w:pPr>
      <w:r w:rsidRPr="00F459FA">
        <w:rPr>
          <w:color w:val="auto"/>
        </w:rPr>
        <w:t xml:space="preserve">Figuur </w:t>
      </w:r>
      <w:r w:rsidRPr="00F459FA">
        <w:rPr>
          <w:color w:val="auto"/>
        </w:rPr>
        <w:fldChar w:fldCharType="begin"/>
      </w:r>
      <w:r w:rsidRPr="00F459FA">
        <w:rPr>
          <w:color w:val="auto"/>
        </w:rPr>
        <w:instrText xml:space="preserve"> SEQ Figuur \* ARABIC </w:instrText>
      </w:r>
      <w:r w:rsidRPr="00F459FA">
        <w:rPr>
          <w:color w:val="auto"/>
        </w:rPr>
        <w:fldChar w:fldCharType="separate"/>
      </w:r>
      <w:r w:rsidR="00B032CF">
        <w:rPr>
          <w:noProof/>
          <w:color w:val="auto"/>
        </w:rPr>
        <w:t>4</w:t>
      </w:r>
      <w:r w:rsidRPr="00F459FA">
        <w:rPr>
          <w:color w:val="auto"/>
        </w:rPr>
        <w:fldChar w:fldCharType="end"/>
      </w:r>
      <w:r w:rsidRPr="00F459FA">
        <w:rPr>
          <w:color w:val="auto"/>
        </w:rPr>
        <w:t xml:space="preserve"> Ontwikkeling bedrijfslasten/-opbrengsten GGZ-sector 2012-202</w:t>
      </w:r>
      <w:r w:rsidR="00E619E7">
        <w:rPr>
          <w:color w:val="auto"/>
        </w:rPr>
        <w:t>2</w:t>
      </w:r>
      <w:r w:rsidRPr="00F459FA">
        <w:rPr>
          <w:noProof/>
          <w:color w:val="FF0000"/>
          <w:lang w:eastAsia="nl-NL"/>
        </w:rPr>
        <w:drawing>
          <wp:inline distT="0" distB="0" distL="0" distR="0" wp14:anchorId="2B9A3B9E" wp14:editId="1ADB48CC">
            <wp:extent cx="5166360" cy="1578610"/>
            <wp:effectExtent l="0" t="0" r="0" b="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31D191" w14:textId="77777777" w:rsidR="008C7E96" w:rsidRPr="00F459FA" w:rsidRDefault="008C7E96" w:rsidP="008C7E96">
      <w:pPr>
        <w:pStyle w:val="06Bodytekst"/>
        <w:rPr>
          <w:color w:val="FF0000"/>
        </w:rPr>
      </w:pPr>
    </w:p>
    <w:p w14:paraId="504198D1" w14:textId="3E9FE855" w:rsidR="008C7E96" w:rsidRPr="00F459FA" w:rsidRDefault="008C7E96" w:rsidP="008C7E96">
      <w:pPr>
        <w:pStyle w:val="06Bodytekst"/>
        <w:rPr>
          <w:color w:val="auto"/>
        </w:rPr>
      </w:pPr>
      <w:r w:rsidRPr="00F459FA">
        <w:rPr>
          <w:color w:val="auto"/>
        </w:rPr>
        <w:t>De totale personeelskosten, inclusief inhuur van derden, nemen in 202</w:t>
      </w:r>
      <w:r w:rsidR="00971C81">
        <w:rPr>
          <w:color w:val="auto"/>
        </w:rPr>
        <w:t>2</w:t>
      </w:r>
      <w:r w:rsidRPr="00F459FA">
        <w:rPr>
          <w:color w:val="auto"/>
        </w:rPr>
        <w:t xml:space="preserve"> driekwart van de totale lasten van de sector in beslag. De ‘overige bedrijfskosten’, waartoe het grootste deel van de inkoopuitgaven </w:t>
      </w:r>
      <w:r w:rsidRPr="00F459FA">
        <w:rPr>
          <w:color w:val="auto"/>
        </w:rPr>
        <w:lastRenderedPageBreak/>
        <w:t>wordt gerekend, omvatten circa een vijfde (=21%) van de totale lasten van een gemiddelde GGZ-organisatie. Deze verdeling is door de jaren heen nagenoeg onveranderd.</w:t>
      </w:r>
    </w:p>
    <w:p w14:paraId="7F906E67" w14:textId="77777777" w:rsidR="008C7E96" w:rsidRPr="00F459FA" w:rsidRDefault="008C7E96" w:rsidP="008C7E96">
      <w:pPr>
        <w:pStyle w:val="06Bodytekst"/>
        <w:rPr>
          <w:color w:val="auto"/>
        </w:rPr>
      </w:pPr>
    </w:p>
    <w:p w14:paraId="62E85582" w14:textId="57035C67" w:rsidR="008C7E96" w:rsidRPr="00F459FA" w:rsidRDefault="008C7E96" w:rsidP="008C7E96">
      <w:pPr>
        <w:pStyle w:val="Bijschrift"/>
        <w:keepNext/>
        <w:rPr>
          <w:color w:val="auto"/>
        </w:rPr>
      </w:pPr>
      <w:r w:rsidRPr="00F459FA">
        <w:rPr>
          <w:color w:val="auto"/>
        </w:rPr>
        <w:t xml:space="preserve">Figuur </w:t>
      </w:r>
      <w:r w:rsidRPr="00F459FA">
        <w:rPr>
          <w:color w:val="auto"/>
        </w:rPr>
        <w:fldChar w:fldCharType="begin"/>
      </w:r>
      <w:r w:rsidRPr="00F459FA">
        <w:rPr>
          <w:color w:val="auto"/>
        </w:rPr>
        <w:instrText xml:space="preserve"> SEQ Figuur \* ARABIC </w:instrText>
      </w:r>
      <w:r w:rsidRPr="00F459FA">
        <w:rPr>
          <w:color w:val="auto"/>
        </w:rPr>
        <w:fldChar w:fldCharType="separate"/>
      </w:r>
      <w:r w:rsidR="00B032CF">
        <w:rPr>
          <w:noProof/>
          <w:color w:val="auto"/>
        </w:rPr>
        <w:t>5</w:t>
      </w:r>
      <w:r w:rsidRPr="00F459FA">
        <w:rPr>
          <w:color w:val="auto"/>
        </w:rPr>
        <w:fldChar w:fldCharType="end"/>
      </w:r>
      <w:r w:rsidRPr="00F459FA">
        <w:rPr>
          <w:color w:val="auto"/>
        </w:rPr>
        <w:t xml:space="preserve"> Aandeel personeelskosten in totale bedrijfslasten GGZ</w:t>
      </w:r>
    </w:p>
    <w:p w14:paraId="0625523E" w14:textId="77777777" w:rsidR="008C7E96" w:rsidRPr="00F459FA" w:rsidRDefault="008C7E96" w:rsidP="008C7E96">
      <w:pPr>
        <w:pStyle w:val="06Bodytekst"/>
        <w:rPr>
          <w:color w:val="FF0000"/>
        </w:rPr>
      </w:pPr>
      <w:r w:rsidRPr="00F459FA">
        <w:rPr>
          <w:noProof/>
          <w:color w:val="FF0000"/>
          <w:lang w:eastAsia="nl-NL"/>
        </w:rPr>
        <w:drawing>
          <wp:inline distT="0" distB="0" distL="0" distR="0" wp14:anchorId="7D01ADE5" wp14:editId="20801450">
            <wp:extent cx="4924425" cy="1838325"/>
            <wp:effectExtent l="0" t="0" r="0" b="0"/>
            <wp:docPr id="9" name="Grafie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0D0CB38" w14:textId="44DA9B07" w:rsidR="008C7E96" w:rsidRPr="00F459FA" w:rsidRDefault="008C7E96" w:rsidP="008C7E96">
      <w:pPr>
        <w:rPr>
          <w:color w:val="FF0000"/>
          <w:sz w:val="18"/>
        </w:rPr>
      </w:pPr>
    </w:p>
    <w:p w14:paraId="18AC5EC9" w14:textId="77777777" w:rsidR="00A42B27" w:rsidRDefault="00A42B27">
      <w:pPr>
        <w:spacing w:after="160" w:line="259" w:lineRule="auto"/>
        <w:rPr>
          <w:rFonts w:asciiTheme="majorHAnsi" w:eastAsiaTheme="majorEastAsia" w:hAnsiTheme="majorHAnsi" w:cstheme="majorBidi"/>
          <w:sz w:val="26"/>
          <w:szCs w:val="26"/>
        </w:rPr>
      </w:pPr>
      <w:r>
        <w:br w:type="page"/>
      </w:r>
    </w:p>
    <w:p w14:paraId="4511141C" w14:textId="117A3769" w:rsidR="008C7E96" w:rsidRPr="00F459FA" w:rsidRDefault="008C7E96" w:rsidP="008C7E96">
      <w:pPr>
        <w:pStyle w:val="02Paragraafkop"/>
        <w:rPr>
          <w:color w:val="auto"/>
        </w:rPr>
      </w:pPr>
      <w:bookmarkStart w:id="12" w:name="_Toc148100252"/>
      <w:r w:rsidRPr="00F459FA">
        <w:rPr>
          <w:color w:val="auto"/>
        </w:rPr>
        <w:lastRenderedPageBreak/>
        <w:t>Inkoopuitgaven</w:t>
      </w:r>
      <w:bookmarkEnd w:id="12"/>
    </w:p>
    <w:p w14:paraId="3B3D5E2C" w14:textId="199D3865" w:rsidR="008C7E96" w:rsidRPr="00F459FA" w:rsidRDefault="009E780E" w:rsidP="008C7E96">
      <w:pPr>
        <w:pStyle w:val="06Bodytekst"/>
        <w:rPr>
          <w:color w:val="auto"/>
        </w:rPr>
      </w:pPr>
      <w:r w:rsidRPr="00021B2D">
        <w:rPr>
          <w:color w:val="auto"/>
        </w:rPr>
        <w:t>Tot de inkoopuitgaven van een organisatie worden alle inkoopgerelateerde exploitatiekosten en de afschrijvingen op de investeringen gerekend</w:t>
      </w:r>
      <w:r w:rsidR="008C7E96" w:rsidRPr="00F459FA">
        <w:rPr>
          <w:color w:val="auto"/>
        </w:rPr>
        <w:t xml:space="preserve">. De </w:t>
      </w:r>
      <w:r w:rsidR="00385FE1" w:rsidRPr="00F459FA">
        <w:rPr>
          <w:color w:val="auto"/>
        </w:rPr>
        <w:t xml:space="preserve">totale inkoopuitgaven </w:t>
      </w:r>
      <w:r w:rsidR="00B31EC2">
        <w:rPr>
          <w:color w:val="auto"/>
        </w:rPr>
        <w:t>van de onderzochte organisaties</w:t>
      </w:r>
      <w:r w:rsidR="00385FE1" w:rsidRPr="00F459FA">
        <w:rPr>
          <w:color w:val="auto"/>
        </w:rPr>
        <w:t xml:space="preserve"> bedragen in 202</w:t>
      </w:r>
      <w:r w:rsidR="00B31EC2">
        <w:rPr>
          <w:color w:val="auto"/>
        </w:rPr>
        <w:t>2</w:t>
      </w:r>
      <w:r w:rsidR="00385FE1" w:rsidRPr="00F459FA">
        <w:rPr>
          <w:color w:val="auto"/>
        </w:rPr>
        <w:t xml:space="preserve"> </w:t>
      </w:r>
      <w:r w:rsidR="008C7E96" w:rsidRPr="00F459FA">
        <w:rPr>
          <w:color w:val="auto"/>
        </w:rPr>
        <w:t xml:space="preserve">in totaal € </w:t>
      </w:r>
      <w:r w:rsidR="00D800D0">
        <w:rPr>
          <w:color w:val="auto"/>
        </w:rPr>
        <w:t>2,</w:t>
      </w:r>
      <w:r w:rsidR="00081D4A">
        <w:rPr>
          <w:color w:val="auto"/>
        </w:rPr>
        <w:t>8</w:t>
      </w:r>
      <w:r w:rsidR="008C7E96" w:rsidRPr="00F459FA">
        <w:rPr>
          <w:color w:val="auto"/>
        </w:rPr>
        <w:t xml:space="preserve"> mld. </w:t>
      </w:r>
    </w:p>
    <w:p w14:paraId="0AD3A022" w14:textId="77777777" w:rsidR="00EB44BA" w:rsidRPr="00F459FA" w:rsidRDefault="00EB44BA" w:rsidP="00EB44BA">
      <w:pPr>
        <w:pStyle w:val="06Bodytekst"/>
        <w:rPr>
          <w:color w:val="auto"/>
        </w:rPr>
      </w:pPr>
    </w:p>
    <w:p w14:paraId="7C951FCF" w14:textId="03CB2F46" w:rsidR="00EB44BA" w:rsidRDefault="00EB44BA" w:rsidP="00EB44BA">
      <w:pPr>
        <w:pStyle w:val="06Bodytekst"/>
        <w:rPr>
          <w:color w:val="auto"/>
        </w:rPr>
      </w:pPr>
      <w:r w:rsidRPr="00F459FA">
        <w:rPr>
          <w:color w:val="auto"/>
        </w:rPr>
        <w:t>De inkoopuitgaven laten in 202</w:t>
      </w:r>
      <w:r w:rsidR="006B06A9">
        <w:rPr>
          <w:color w:val="auto"/>
        </w:rPr>
        <w:t>2</w:t>
      </w:r>
      <w:r w:rsidRPr="00F459FA">
        <w:rPr>
          <w:color w:val="auto"/>
        </w:rPr>
        <w:t xml:space="preserve"> met +</w:t>
      </w:r>
      <w:r w:rsidR="006B06A9">
        <w:rPr>
          <w:color w:val="auto"/>
        </w:rPr>
        <w:t>8,</w:t>
      </w:r>
      <w:r w:rsidR="00081D4A">
        <w:rPr>
          <w:color w:val="auto"/>
        </w:rPr>
        <w:t>6</w:t>
      </w:r>
      <w:r w:rsidR="006B06A9">
        <w:rPr>
          <w:color w:val="auto"/>
        </w:rPr>
        <w:t>% een aanzienlijke</w:t>
      </w:r>
      <w:r w:rsidRPr="00F459FA">
        <w:rPr>
          <w:color w:val="auto"/>
        </w:rPr>
        <w:t xml:space="preserve"> stijging zien. De</w:t>
      </w:r>
      <w:r w:rsidR="006B06A9">
        <w:rPr>
          <w:color w:val="auto"/>
        </w:rPr>
        <w:t>ze</w:t>
      </w:r>
      <w:r w:rsidR="006D01E1">
        <w:rPr>
          <w:color w:val="auto"/>
        </w:rPr>
        <w:t xml:space="preserve"> </w:t>
      </w:r>
      <w:r w:rsidRPr="00F459FA">
        <w:rPr>
          <w:color w:val="auto"/>
        </w:rPr>
        <w:t xml:space="preserve">toename wijkt daarmee </w:t>
      </w:r>
      <w:r w:rsidR="006D01E1">
        <w:rPr>
          <w:color w:val="auto"/>
        </w:rPr>
        <w:t xml:space="preserve">flink </w:t>
      </w:r>
      <w:r w:rsidRPr="00F459FA">
        <w:rPr>
          <w:color w:val="auto"/>
        </w:rPr>
        <w:t xml:space="preserve">af </w:t>
      </w:r>
      <w:r w:rsidR="006D01E1">
        <w:rPr>
          <w:color w:val="auto"/>
        </w:rPr>
        <w:t xml:space="preserve">van de geringe stijging in 2021 (+0,9%), maar ligt in lijn met de </w:t>
      </w:r>
      <w:r w:rsidR="008B5CF9">
        <w:rPr>
          <w:color w:val="auto"/>
        </w:rPr>
        <w:t>toenemende uitgaven die</w:t>
      </w:r>
      <w:r w:rsidRPr="00F459FA">
        <w:rPr>
          <w:color w:val="auto"/>
        </w:rPr>
        <w:t xml:space="preserve"> </w:t>
      </w:r>
      <w:r w:rsidR="009B0F71">
        <w:rPr>
          <w:color w:val="auto"/>
        </w:rPr>
        <w:t>in de</w:t>
      </w:r>
      <w:r w:rsidRPr="00F459FA">
        <w:rPr>
          <w:color w:val="auto"/>
        </w:rPr>
        <w:t xml:space="preserve"> jaren</w:t>
      </w:r>
      <w:r w:rsidR="009B0F71">
        <w:rPr>
          <w:color w:val="auto"/>
        </w:rPr>
        <w:t xml:space="preserve"> daarvoor</w:t>
      </w:r>
      <w:r w:rsidRPr="00F459FA">
        <w:rPr>
          <w:color w:val="auto"/>
        </w:rPr>
        <w:t xml:space="preserve"> zichtbaar waren: in 20</w:t>
      </w:r>
      <w:r w:rsidR="00D407BF" w:rsidRPr="00F459FA">
        <w:rPr>
          <w:color w:val="auto"/>
        </w:rPr>
        <w:t>19</w:t>
      </w:r>
      <w:r w:rsidRPr="00F459FA">
        <w:rPr>
          <w:color w:val="auto"/>
        </w:rPr>
        <w:t xml:space="preserve"> en 202</w:t>
      </w:r>
      <w:r w:rsidR="00D407BF" w:rsidRPr="00F459FA">
        <w:rPr>
          <w:color w:val="auto"/>
        </w:rPr>
        <w:t>0</w:t>
      </w:r>
      <w:r w:rsidRPr="00F459FA">
        <w:rPr>
          <w:color w:val="auto"/>
        </w:rPr>
        <w:t xml:space="preserve"> stegen de inkoopuitgaven nog met respectievelijk +9,4% en 7,0%. </w:t>
      </w:r>
    </w:p>
    <w:p w14:paraId="0F7E2D0E" w14:textId="77777777" w:rsidR="0004651C" w:rsidRPr="00F459FA" w:rsidRDefault="0004651C" w:rsidP="00EB44BA">
      <w:pPr>
        <w:pStyle w:val="06Bodytekst"/>
        <w:rPr>
          <w:color w:val="auto"/>
        </w:rPr>
      </w:pPr>
    </w:p>
    <w:p w14:paraId="73F5DA2D" w14:textId="25F78B85" w:rsidR="00FD7E09" w:rsidRDefault="0004651C" w:rsidP="0004651C">
      <w:pPr>
        <w:pStyle w:val="06Bodytekst"/>
        <w:rPr>
          <w:color w:val="auto"/>
        </w:rPr>
      </w:pPr>
      <w:r w:rsidRPr="00F459FA">
        <w:rPr>
          <w:color w:val="auto"/>
        </w:rPr>
        <w:t>Veruit het grootste deel (€ 2,</w:t>
      </w:r>
      <w:r w:rsidR="00C50571">
        <w:rPr>
          <w:color w:val="auto"/>
        </w:rPr>
        <w:t>6</w:t>
      </w:r>
      <w:r w:rsidRPr="00F459FA">
        <w:rPr>
          <w:color w:val="auto"/>
        </w:rPr>
        <w:t xml:space="preserve"> mld.) </w:t>
      </w:r>
      <w:r w:rsidR="00003DEF">
        <w:rPr>
          <w:color w:val="auto"/>
        </w:rPr>
        <w:t>betreft</w:t>
      </w:r>
      <w:r w:rsidRPr="00F459FA">
        <w:rPr>
          <w:color w:val="auto"/>
        </w:rPr>
        <w:t xml:space="preserve"> exploitatiekosten. Dit is 9</w:t>
      </w:r>
      <w:r w:rsidR="0009130D">
        <w:rPr>
          <w:color w:val="auto"/>
        </w:rPr>
        <w:t>2</w:t>
      </w:r>
      <w:r w:rsidRPr="00F459FA">
        <w:rPr>
          <w:color w:val="auto"/>
        </w:rPr>
        <w:t xml:space="preserve">% van de totale inkoopuitgaven. Het overige deel betreft € </w:t>
      </w:r>
      <w:r>
        <w:rPr>
          <w:color w:val="auto"/>
        </w:rPr>
        <w:t>21</w:t>
      </w:r>
      <w:r w:rsidR="00660FDB">
        <w:rPr>
          <w:color w:val="auto"/>
        </w:rPr>
        <w:t>6</w:t>
      </w:r>
      <w:r w:rsidRPr="00F459FA">
        <w:rPr>
          <w:color w:val="auto"/>
        </w:rPr>
        <w:t xml:space="preserve"> mln. aan </w:t>
      </w:r>
      <w:r>
        <w:rPr>
          <w:color w:val="auto"/>
        </w:rPr>
        <w:t xml:space="preserve">afschrijvingen op eerder gedane </w:t>
      </w:r>
      <w:r w:rsidRPr="00F459FA">
        <w:rPr>
          <w:color w:val="auto"/>
        </w:rPr>
        <w:t>investeringen.</w:t>
      </w:r>
      <w:r>
        <w:rPr>
          <w:color w:val="auto"/>
        </w:rPr>
        <w:t xml:space="preserve"> </w:t>
      </w:r>
      <w:r w:rsidRPr="00B60EC1">
        <w:rPr>
          <w:color w:val="auto"/>
        </w:rPr>
        <w:t>De afschrijving</w:t>
      </w:r>
      <w:r w:rsidR="00EF6D05">
        <w:rPr>
          <w:color w:val="auto"/>
        </w:rPr>
        <w:t xml:space="preserve">skosten zijn in 2022 </w:t>
      </w:r>
      <w:r w:rsidR="00FD7E09">
        <w:rPr>
          <w:color w:val="auto"/>
        </w:rPr>
        <w:t xml:space="preserve">met +0,5% </w:t>
      </w:r>
      <w:r w:rsidR="00EF6D05">
        <w:rPr>
          <w:color w:val="auto"/>
        </w:rPr>
        <w:t>nagenoeg onveranderd</w:t>
      </w:r>
      <w:r w:rsidRPr="00B60EC1">
        <w:rPr>
          <w:color w:val="auto"/>
        </w:rPr>
        <w:t xml:space="preserve">. De stijging van de inkoopgerelateerde exploitatiekosten is </w:t>
      </w:r>
      <w:r w:rsidR="003B516E">
        <w:rPr>
          <w:color w:val="auto"/>
        </w:rPr>
        <w:t xml:space="preserve">daarentegen </w:t>
      </w:r>
      <w:r w:rsidRPr="00B60EC1">
        <w:rPr>
          <w:color w:val="auto"/>
        </w:rPr>
        <w:t>met +</w:t>
      </w:r>
      <w:r w:rsidR="00FA70FB">
        <w:rPr>
          <w:color w:val="auto"/>
        </w:rPr>
        <w:t>9,3</w:t>
      </w:r>
      <w:r w:rsidR="0025254E">
        <w:rPr>
          <w:color w:val="auto"/>
        </w:rPr>
        <w:t>% aanzienlijk</w:t>
      </w:r>
      <w:r w:rsidR="00CF580A">
        <w:rPr>
          <w:color w:val="auto"/>
        </w:rPr>
        <w:t xml:space="preserve"> en hangt </w:t>
      </w:r>
      <w:r w:rsidR="00D56C81">
        <w:rPr>
          <w:color w:val="auto"/>
        </w:rPr>
        <w:t xml:space="preserve">deels </w:t>
      </w:r>
      <w:r w:rsidR="00CF580A">
        <w:rPr>
          <w:color w:val="auto"/>
        </w:rPr>
        <w:t xml:space="preserve">samen met </w:t>
      </w:r>
      <w:r w:rsidRPr="00B60EC1">
        <w:rPr>
          <w:color w:val="auto"/>
        </w:rPr>
        <w:t xml:space="preserve">de flinke prijsstijgingen waarmee de sector </w:t>
      </w:r>
      <w:r w:rsidRPr="00071C5E">
        <w:rPr>
          <w:color w:val="auto"/>
        </w:rPr>
        <w:t>vooral in het tweede deel van 2022 te maken kreeg</w:t>
      </w:r>
      <w:r w:rsidR="00CF580A">
        <w:rPr>
          <w:color w:val="auto"/>
        </w:rPr>
        <w:t>.</w:t>
      </w:r>
      <w:r w:rsidRPr="00071C5E">
        <w:rPr>
          <w:color w:val="auto"/>
        </w:rPr>
        <w:t xml:space="preserve"> </w:t>
      </w:r>
    </w:p>
    <w:p w14:paraId="14BE147D" w14:textId="77777777" w:rsidR="00FD7E09" w:rsidRDefault="00FD7E09" w:rsidP="0004651C">
      <w:pPr>
        <w:pStyle w:val="06Bodytekst"/>
        <w:rPr>
          <w:color w:val="auto"/>
        </w:rPr>
      </w:pPr>
    </w:p>
    <w:p w14:paraId="546AA119" w14:textId="2DE37061" w:rsidR="008C7E96" w:rsidRPr="00F459FA" w:rsidRDefault="008C7E96" w:rsidP="008C7E96">
      <w:pPr>
        <w:pStyle w:val="Bijschrift"/>
        <w:keepNext/>
        <w:rPr>
          <w:color w:val="auto"/>
        </w:rPr>
      </w:pPr>
      <w:r w:rsidRPr="00F459FA">
        <w:rPr>
          <w:color w:val="auto"/>
        </w:rPr>
        <w:t xml:space="preserve">Figuur </w:t>
      </w:r>
      <w:r w:rsidRPr="00F459FA">
        <w:rPr>
          <w:color w:val="auto"/>
        </w:rPr>
        <w:fldChar w:fldCharType="begin"/>
      </w:r>
      <w:r w:rsidRPr="00F459FA">
        <w:rPr>
          <w:color w:val="auto"/>
        </w:rPr>
        <w:instrText xml:space="preserve"> SEQ Figuur \* ARABIC </w:instrText>
      </w:r>
      <w:r w:rsidRPr="00F459FA">
        <w:rPr>
          <w:color w:val="auto"/>
        </w:rPr>
        <w:fldChar w:fldCharType="separate"/>
      </w:r>
      <w:r w:rsidR="00B032CF">
        <w:rPr>
          <w:noProof/>
          <w:color w:val="auto"/>
        </w:rPr>
        <w:t>6</w:t>
      </w:r>
      <w:r w:rsidRPr="00F459FA">
        <w:rPr>
          <w:color w:val="auto"/>
        </w:rPr>
        <w:fldChar w:fldCharType="end"/>
      </w:r>
      <w:r w:rsidRPr="00F459FA">
        <w:rPr>
          <w:color w:val="auto"/>
        </w:rPr>
        <w:t xml:space="preserve"> Ontwikkeling inkoopuitgaven GGZ-sector 2012-202</w:t>
      </w:r>
      <w:r w:rsidR="00D40072">
        <w:rPr>
          <w:color w:val="auto"/>
        </w:rPr>
        <w:t>2</w:t>
      </w:r>
    </w:p>
    <w:p w14:paraId="19B325BC" w14:textId="77777777" w:rsidR="008C7E96" w:rsidRPr="00F459FA" w:rsidRDefault="008C7E96" w:rsidP="008C7E96">
      <w:pPr>
        <w:pStyle w:val="06Bodytekst"/>
        <w:rPr>
          <w:color w:val="FF0000"/>
        </w:rPr>
      </w:pPr>
      <w:r w:rsidRPr="00F459FA">
        <w:rPr>
          <w:noProof/>
          <w:color w:val="FF0000"/>
          <w:lang w:eastAsia="nl-NL"/>
        </w:rPr>
        <w:drawing>
          <wp:inline distT="0" distB="0" distL="0" distR="0" wp14:anchorId="78A107BF" wp14:editId="7D9980A9">
            <wp:extent cx="5166360" cy="2295525"/>
            <wp:effectExtent l="0" t="0" r="0" b="0"/>
            <wp:docPr id="10" name="Grafie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81848BB" w14:textId="43DA6B31" w:rsidR="00EA4E9D" w:rsidRPr="00134EE2" w:rsidRDefault="00EA4E9D" w:rsidP="00EA4E9D">
      <w:pPr>
        <w:pStyle w:val="06Bodytekst"/>
        <w:rPr>
          <w:color w:val="FF0000"/>
        </w:rPr>
      </w:pPr>
      <w:r w:rsidRPr="00071C5E">
        <w:rPr>
          <w:color w:val="auto"/>
        </w:rPr>
        <w:t xml:space="preserve">Tot de inkoopgerelateerde exploitatiekosten worden onder meer de cliëntgebonden kosten, </w:t>
      </w:r>
      <w:r w:rsidRPr="005A4CD2">
        <w:rPr>
          <w:color w:val="auto"/>
        </w:rPr>
        <w:t>voedingsmiddelen en hotelmatige kosten gerekend. De kostensoort die 202</w:t>
      </w:r>
      <w:r w:rsidR="00B4664C">
        <w:rPr>
          <w:color w:val="auto"/>
        </w:rPr>
        <w:t>2</w:t>
      </w:r>
      <w:r w:rsidRPr="005A4CD2">
        <w:rPr>
          <w:color w:val="auto"/>
        </w:rPr>
        <w:t xml:space="preserve"> </w:t>
      </w:r>
      <w:r w:rsidR="00CC2E4D">
        <w:rPr>
          <w:color w:val="auto"/>
        </w:rPr>
        <w:t xml:space="preserve">wat betreft </w:t>
      </w:r>
      <w:r w:rsidR="007031B0">
        <w:rPr>
          <w:color w:val="auto"/>
        </w:rPr>
        <w:t xml:space="preserve">stijging </w:t>
      </w:r>
      <w:r w:rsidRPr="005A4CD2">
        <w:rPr>
          <w:color w:val="auto"/>
        </w:rPr>
        <w:t xml:space="preserve">het </w:t>
      </w:r>
      <w:r w:rsidR="007031B0">
        <w:rPr>
          <w:color w:val="auto"/>
        </w:rPr>
        <w:t>meest in het oog springt</w:t>
      </w:r>
      <w:r w:rsidR="0078791C">
        <w:rPr>
          <w:color w:val="auto"/>
        </w:rPr>
        <w:t>,</w:t>
      </w:r>
      <w:r w:rsidR="007031B0">
        <w:rPr>
          <w:color w:val="auto"/>
        </w:rPr>
        <w:t xml:space="preserve"> betreft </w:t>
      </w:r>
      <w:r w:rsidRPr="00B84010">
        <w:rPr>
          <w:color w:val="auto"/>
        </w:rPr>
        <w:t>personeel niet in loondienst (+2</w:t>
      </w:r>
      <w:r w:rsidR="00B4664C" w:rsidRPr="00B84010">
        <w:rPr>
          <w:color w:val="auto"/>
        </w:rPr>
        <w:t>0,</w:t>
      </w:r>
      <w:r w:rsidR="00497566">
        <w:rPr>
          <w:color w:val="auto"/>
        </w:rPr>
        <w:t>1</w:t>
      </w:r>
      <w:r w:rsidRPr="00B84010">
        <w:rPr>
          <w:color w:val="auto"/>
        </w:rPr>
        <w:t>%)</w:t>
      </w:r>
      <w:r w:rsidR="00B84010" w:rsidRPr="00B84010">
        <w:rPr>
          <w:color w:val="auto"/>
        </w:rPr>
        <w:t>.</w:t>
      </w:r>
    </w:p>
    <w:p w14:paraId="06AB1317" w14:textId="4E1A1505" w:rsidR="00EA4E9D" w:rsidRPr="00DC0AA6" w:rsidRDefault="00EA4E9D" w:rsidP="00EA4E9D">
      <w:pPr>
        <w:pStyle w:val="06Bodytekst"/>
        <w:rPr>
          <w:color w:val="auto"/>
        </w:rPr>
      </w:pPr>
      <w:r w:rsidRPr="00DC0AA6">
        <w:rPr>
          <w:color w:val="auto"/>
        </w:rPr>
        <w:t>De inkoopratio</w:t>
      </w:r>
      <w:r w:rsidRPr="00DC0AA6">
        <w:rPr>
          <w:rStyle w:val="Voetnootmarkering"/>
          <w:color w:val="auto"/>
        </w:rPr>
        <w:footnoteReference w:id="6"/>
      </w:r>
      <w:r w:rsidRPr="00DC0AA6">
        <w:rPr>
          <w:color w:val="auto"/>
        </w:rPr>
        <w:t xml:space="preserve"> die het aandeel van de inkoopgerelateerde exploitatiekosten aangeeft in het totaal van bedrijfslasten, stijgt in 2022 van 30,1% naar 31,2%.</w:t>
      </w:r>
      <w:r w:rsidR="00E9016B">
        <w:rPr>
          <w:color w:val="auto"/>
        </w:rPr>
        <w:t xml:space="preserve"> De sector is naar verhouding weer een beetje meer gaan inkopen.</w:t>
      </w:r>
    </w:p>
    <w:p w14:paraId="08BB551F" w14:textId="77777777" w:rsidR="008C7E96" w:rsidRPr="00F459FA" w:rsidRDefault="008C7E96" w:rsidP="008C7E96">
      <w:pPr>
        <w:pStyle w:val="Bijschrift"/>
        <w:keepNext/>
        <w:rPr>
          <w:i w:val="0"/>
          <w:iCs w:val="0"/>
          <w:color w:val="FF0000"/>
          <w:szCs w:val="22"/>
        </w:rPr>
      </w:pPr>
    </w:p>
    <w:p w14:paraId="18D7E88D" w14:textId="77777777" w:rsidR="00EB44BA" w:rsidRPr="00F459FA" w:rsidRDefault="00EB44BA" w:rsidP="00EB44BA">
      <w:pPr>
        <w:pStyle w:val="06Bodytekst"/>
        <w:rPr>
          <w:color w:val="FF0000"/>
        </w:rPr>
      </w:pPr>
    </w:p>
    <w:p w14:paraId="15BD461B" w14:textId="77777777" w:rsidR="008C7E96" w:rsidRPr="00F459FA" w:rsidRDefault="008C7E96" w:rsidP="008C7E96">
      <w:pPr>
        <w:pStyle w:val="06Bodytekst"/>
        <w:rPr>
          <w:color w:val="FF0000"/>
        </w:rPr>
      </w:pPr>
    </w:p>
    <w:p w14:paraId="193723FF" w14:textId="3C8C9A84" w:rsidR="008C7E96" w:rsidRPr="00F459FA" w:rsidRDefault="008C7E96" w:rsidP="008C7E96">
      <w:pPr>
        <w:pStyle w:val="Bijschrift"/>
        <w:keepNext/>
        <w:rPr>
          <w:color w:val="auto"/>
        </w:rPr>
      </w:pPr>
      <w:r w:rsidRPr="00F459FA">
        <w:rPr>
          <w:color w:val="auto"/>
        </w:rPr>
        <w:lastRenderedPageBreak/>
        <w:t xml:space="preserve">Figuur </w:t>
      </w:r>
      <w:r w:rsidRPr="00F459FA">
        <w:rPr>
          <w:color w:val="auto"/>
        </w:rPr>
        <w:fldChar w:fldCharType="begin"/>
      </w:r>
      <w:r w:rsidRPr="00F459FA">
        <w:rPr>
          <w:color w:val="auto"/>
        </w:rPr>
        <w:instrText xml:space="preserve"> SEQ Figuur \* ARABIC </w:instrText>
      </w:r>
      <w:r w:rsidRPr="00F459FA">
        <w:rPr>
          <w:color w:val="auto"/>
        </w:rPr>
        <w:fldChar w:fldCharType="separate"/>
      </w:r>
      <w:r w:rsidR="00B032CF">
        <w:rPr>
          <w:noProof/>
          <w:color w:val="auto"/>
        </w:rPr>
        <w:t>7</w:t>
      </w:r>
      <w:r w:rsidRPr="00F459FA">
        <w:rPr>
          <w:color w:val="auto"/>
        </w:rPr>
        <w:fldChar w:fldCharType="end"/>
      </w:r>
      <w:r w:rsidRPr="00F459FA">
        <w:rPr>
          <w:color w:val="auto"/>
        </w:rPr>
        <w:t xml:space="preserve"> Verbijzondering </w:t>
      </w:r>
      <w:r w:rsidR="00512031" w:rsidRPr="00527D26">
        <w:rPr>
          <w:color w:val="auto"/>
        </w:rPr>
        <w:t>inkoop</w:t>
      </w:r>
      <w:r w:rsidR="00512031">
        <w:rPr>
          <w:color w:val="auto"/>
        </w:rPr>
        <w:t>gerelateerde exploitatiekosten</w:t>
      </w:r>
      <w:r w:rsidR="00512031" w:rsidRPr="00527D26">
        <w:rPr>
          <w:color w:val="auto"/>
        </w:rPr>
        <w:t xml:space="preserve"> </w:t>
      </w:r>
      <w:r w:rsidRPr="00F459FA">
        <w:rPr>
          <w:color w:val="auto"/>
        </w:rPr>
        <w:t>GGZ-sector 202</w:t>
      </w:r>
      <w:r w:rsidR="00987E6E">
        <w:rPr>
          <w:color w:val="auto"/>
        </w:rPr>
        <w:t>2</w:t>
      </w:r>
    </w:p>
    <w:p w14:paraId="736CAB3A" w14:textId="31D1A406" w:rsidR="008C7E96" w:rsidRPr="00F459FA" w:rsidRDefault="00987E6E" w:rsidP="008C7E96">
      <w:pPr>
        <w:rPr>
          <w:color w:val="FF0000"/>
        </w:rPr>
      </w:pPr>
      <w:r w:rsidRPr="00075FC8">
        <w:rPr>
          <w:noProof/>
          <w:color w:val="FF0000"/>
          <w:lang w:eastAsia="nl-NL"/>
        </w:rPr>
        <w:drawing>
          <wp:anchor distT="0" distB="0" distL="114300" distR="114300" simplePos="0" relativeHeight="251660291" behindDoc="0" locked="0" layoutInCell="1" allowOverlap="1" wp14:anchorId="2F33DABA" wp14:editId="1F0E366E">
            <wp:simplePos x="0" y="0"/>
            <wp:positionH relativeFrom="margin">
              <wp:posOffset>3094203</wp:posOffset>
            </wp:positionH>
            <wp:positionV relativeFrom="paragraph">
              <wp:posOffset>5715</wp:posOffset>
            </wp:positionV>
            <wp:extent cx="2057400" cy="4603750"/>
            <wp:effectExtent l="0" t="0" r="0" b="0"/>
            <wp:wrapNone/>
            <wp:docPr id="17" name="Grafiek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3A229F" w:rsidRPr="00075FC8">
        <w:rPr>
          <w:noProof/>
          <w:color w:val="FF0000"/>
          <w:lang w:eastAsia="nl-NL"/>
        </w:rPr>
        <w:drawing>
          <wp:inline distT="0" distB="0" distL="0" distR="0" wp14:anchorId="147D9E7E" wp14:editId="0711A764">
            <wp:extent cx="3409950" cy="4603750"/>
            <wp:effectExtent l="0" t="0" r="0" b="0"/>
            <wp:docPr id="11" name="Grafiek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AF1B5C0" w14:textId="77777777" w:rsidR="008C7E96" w:rsidRPr="00F459FA" w:rsidRDefault="008C7E96" w:rsidP="008C7E96">
      <w:pPr>
        <w:pStyle w:val="04Tussenkop"/>
        <w:rPr>
          <w:color w:val="auto"/>
        </w:rPr>
      </w:pPr>
      <w:r w:rsidRPr="00F459FA">
        <w:rPr>
          <w:color w:val="auto"/>
        </w:rPr>
        <w:t>Algemene kosten</w:t>
      </w:r>
    </w:p>
    <w:p w14:paraId="15D64CF6" w14:textId="5D5B4C54" w:rsidR="008C7E96" w:rsidRPr="00F459FA" w:rsidRDefault="008C7E96" w:rsidP="00E71DA9">
      <w:pPr>
        <w:spacing w:line="250" w:lineRule="atLeast"/>
        <w:rPr>
          <w:color w:val="FF0000"/>
          <w:sz w:val="18"/>
        </w:rPr>
      </w:pPr>
      <w:r w:rsidRPr="00F459FA">
        <w:rPr>
          <w:sz w:val="18"/>
        </w:rPr>
        <w:t xml:space="preserve">De algemene kosten vormen met € </w:t>
      </w:r>
      <w:r w:rsidR="00E964B8">
        <w:rPr>
          <w:sz w:val="18"/>
        </w:rPr>
        <w:t>596</w:t>
      </w:r>
      <w:r w:rsidR="00E964B8" w:rsidRPr="00F459FA">
        <w:rPr>
          <w:sz w:val="18"/>
        </w:rPr>
        <w:t xml:space="preserve"> </w:t>
      </w:r>
      <w:r w:rsidRPr="00F459FA">
        <w:rPr>
          <w:sz w:val="18"/>
        </w:rPr>
        <w:t xml:space="preserve">mln. de grootste kostensoort binnen de GGZ: </w:t>
      </w:r>
      <w:r w:rsidR="006071EF">
        <w:rPr>
          <w:sz w:val="18"/>
        </w:rPr>
        <w:t>23</w:t>
      </w:r>
      <w:r w:rsidR="004466EF" w:rsidRPr="00F459FA">
        <w:rPr>
          <w:sz w:val="18"/>
        </w:rPr>
        <w:t xml:space="preserve">% van de totale </w:t>
      </w:r>
      <w:r w:rsidR="00D33DD1" w:rsidRPr="00F459FA">
        <w:rPr>
          <w:sz w:val="18"/>
        </w:rPr>
        <w:t>inkoop</w:t>
      </w:r>
      <w:r w:rsidR="004466EF" w:rsidRPr="00F459FA">
        <w:rPr>
          <w:sz w:val="18"/>
        </w:rPr>
        <w:t>kosten betreft</w:t>
      </w:r>
      <w:r w:rsidRPr="00F459FA">
        <w:rPr>
          <w:sz w:val="18"/>
        </w:rPr>
        <w:t xml:space="preserve"> algemene kosten. </w:t>
      </w:r>
      <w:r w:rsidR="008A5184" w:rsidRPr="00F459FA">
        <w:rPr>
          <w:sz w:val="18"/>
        </w:rPr>
        <w:t>Tot de</w:t>
      </w:r>
      <w:r w:rsidR="00D90D9D" w:rsidRPr="00F459FA">
        <w:rPr>
          <w:sz w:val="18"/>
        </w:rPr>
        <w:t xml:space="preserve"> algemene kosten</w:t>
      </w:r>
      <w:r w:rsidR="008A5184" w:rsidRPr="00F459FA">
        <w:rPr>
          <w:sz w:val="18"/>
        </w:rPr>
        <w:t xml:space="preserve"> worden onder meer de </w:t>
      </w:r>
      <w:r w:rsidR="00D90D9D" w:rsidRPr="00F459FA">
        <w:rPr>
          <w:sz w:val="18"/>
        </w:rPr>
        <w:t xml:space="preserve">uitgaven aan administratie en registratie, communicatie, accountants en externe advisering gerekend. </w:t>
      </w:r>
      <w:r w:rsidRPr="00F459FA">
        <w:rPr>
          <w:sz w:val="18"/>
        </w:rPr>
        <w:t>De GGZ ziet deze kosten, die voor een groot deel kunnen worden gerekend tot de overhead, in 202</w:t>
      </w:r>
      <w:r w:rsidR="000B63B9">
        <w:rPr>
          <w:sz w:val="18"/>
        </w:rPr>
        <w:t>2</w:t>
      </w:r>
      <w:r w:rsidRPr="00F459FA">
        <w:rPr>
          <w:sz w:val="18"/>
        </w:rPr>
        <w:t xml:space="preserve"> </w:t>
      </w:r>
      <w:r w:rsidR="00886F8B" w:rsidRPr="00F459FA">
        <w:rPr>
          <w:sz w:val="18"/>
        </w:rPr>
        <w:t xml:space="preserve">met </w:t>
      </w:r>
      <w:r w:rsidR="006071EF">
        <w:rPr>
          <w:sz w:val="18"/>
        </w:rPr>
        <w:t>8,4</w:t>
      </w:r>
      <w:r w:rsidR="000B63B9">
        <w:rPr>
          <w:sz w:val="18"/>
        </w:rPr>
        <w:t>% stijgen</w:t>
      </w:r>
      <w:r w:rsidR="00C83B29" w:rsidRPr="00F459FA">
        <w:rPr>
          <w:sz w:val="18"/>
        </w:rPr>
        <w:t xml:space="preserve">. </w:t>
      </w:r>
    </w:p>
    <w:p w14:paraId="59533469" w14:textId="77777777" w:rsidR="008C7E96" w:rsidRPr="00F459FA" w:rsidRDefault="008C7E96" w:rsidP="008C7E96">
      <w:pPr>
        <w:pStyle w:val="06Bodytekst"/>
        <w:rPr>
          <w:color w:val="FF0000"/>
        </w:rPr>
      </w:pPr>
    </w:p>
    <w:p w14:paraId="680E7F14" w14:textId="77777777" w:rsidR="008C7E96" w:rsidRPr="00F459FA" w:rsidRDefault="008C7E96" w:rsidP="008C7E96">
      <w:pPr>
        <w:pStyle w:val="04Tussenkop"/>
        <w:rPr>
          <w:color w:val="auto"/>
        </w:rPr>
      </w:pPr>
      <w:r w:rsidRPr="00F459FA">
        <w:rPr>
          <w:color w:val="auto"/>
        </w:rPr>
        <w:t>Patiënt- en bewonersgebonden kosten</w:t>
      </w:r>
    </w:p>
    <w:p w14:paraId="0F2E016E" w14:textId="4D94ED43" w:rsidR="008C7E96" w:rsidRPr="00F459FA" w:rsidRDefault="008C7E96" w:rsidP="008C7E96">
      <w:pPr>
        <w:spacing w:line="250" w:lineRule="atLeast"/>
        <w:rPr>
          <w:sz w:val="18"/>
        </w:rPr>
      </w:pPr>
      <w:r w:rsidRPr="00F459FA">
        <w:rPr>
          <w:sz w:val="18"/>
        </w:rPr>
        <w:t xml:space="preserve">Patiënt- en bewonersgebonden kosten omvatten onder meer de uitgaven aan therapieën en geneesmiddelen. In </w:t>
      </w:r>
      <w:r w:rsidR="00E74962">
        <w:rPr>
          <w:sz w:val="18"/>
        </w:rPr>
        <w:t xml:space="preserve">2022 nemen de </w:t>
      </w:r>
      <w:r w:rsidR="00E74962" w:rsidRPr="00F459FA">
        <w:rPr>
          <w:sz w:val="18"/>
        </w:rPr>
        <w:t xml:space="preserve">patiënt- en bewonersgebonden kosten </w:t>
      </w:r>
      <w:r w:rsidR="00E74962">
        <w:rPr>
          <w:sz w:val="18"/>
        </w:rPr>
        <w:t xml:space="preserve">toe met </w:t>
      </w:r>
      <w:r w:rsidR="00626D67">
        <w:rPr>
          <w:sz w:val="18"/>
        </w:rPr>
        <w:t>+</w:t>
      </w:r>
      <w:r w:rsidR="00B0418F">
        <w:rPr>
          <w:sz w:val="18"/>
        </w:rPr>
        <w:t>8,1</w:t>
      </w:r>
      <w:r w:rsidR="00626D67">
        <w:rPr>
          <w:sz w:val="18"/>
        </w:rPr>
        <w:t xml:space="preserve">%, een stijging die </w:t>
      </w:r>
      <w:r w:rsidR="00C74B54">
        <w:rPr>
          <w:sz w:val="18"/>
        </w:rPr>
        <w:t xml:space="preserve">ongeveer </w:t>
      </w:r>
      <w:r w:rsidR="00626D67">
        <w:rPr>
          <w:sz w:val="18"/>
        </w:rPr>
        <w:t>in lijn ligt met de toename in 2021 (</w:t>
      </w:r>
      <w:r w:rsidRPr="00F459FA">
        <w:rPr>
          <w:sz w:val="18"/>
        </w:rPr>
        <w:t>+</w:t>
      </w:r>
      <w:r w:rsidR="004B62D4" w:rsidRPr="00F459FA">
        <w:rPr>
          <w:sz w:val="18"/>
        </w:rPr>
        <w:t>7,</w:t>
      </w:r>
      <w:r w:rsidR="00260845" w:rsidRPr="00F459FA">
        <w:rPr>
          <w:sz w:val="18"/>
        </w:rPr>
        <w:t>5%</w:t>
      </w:r>
      <w:r w:rsidR="00626D67">
        <w:rPr>
          <w:sz w:val="18"/>
        </w:rPr>
        <w:t>)</w:t>
      </w:r>
      <w:r w:rsidR="00C0095A">
        <w:rPr>
          <w:sz w:val="18"/>
        </w:rPr>
        <w:t xml:space="preserve">. </w:t>
      </w:r>
      <w:r w:rsidR="009E1CC9">
        <w:rPr>
          <w:sz w:val="18"/>
        </w:rPr>
        <w:t>Door gewijzigde verslaglegging is voor 2022 niet goed te bepalen of deze toename samenhangt met een stijging in het aantal cliënten</w:t>
      </w:r>
      <w:r w:rsidR="009E1CC9">
        <w:rPr>
          <w:color w:val="FF0000"/>
          <w:sz w:val="18"/>
        </w:rPr>
        <w:t xml:space="preserve">. </w:t>
      </w:r>
      <w:r w:rsidR="00EF0E2E" w:rsidRPr="00F459FA">
        <w:rPr>
          <w:sz w:val="18"/>
        </w:rPr>
        <w:t xml:space="preserve">In totaal bedragen de patiënt- en bewonersgebonden kosten </w:t>
      </w:r>
      <w:r w:rsidR="001E2834" w:rsidRPr="00F459FA">
        <w:rPr>
          <w:sz w:val="18"/>
        </w:rPr>
        <w:t>voor de GGZ-sector</w:t>
      </w:r>
      <w:r w:rsidR="00EF0E2E" w:rsidRPr="00F459FA">
        <w:rPr>
          <w:sz w:val="18"/>
        </w:rPr>
        <w:t xml:space="preserve"> in 202</w:t>
      </w:r>
      <w:r w:rsidR="002B6B10">
        <w:rPr>
          <w:sz w:val="18"/>
        </w:rPr>
        <w:t>2</w:t>
      </w:r>
      <w:r w:rsidR="00EF0E2E" w:rsidRPr="00F459FA">
        <w:rPr>
          <w:sz w:val="18"/>
        </w:rPr>
        <w:t xml:space="preserve"> € </w:t>
      </w:r>
      <w:r w:rsidR="00C0095A">
        <w:rPr>
          <w:sz w:val="18"/>
        </w:rPr>
        <w:t>14</w:t>
      </w:r>
      <w:r w:rsidR="003250D7">
        <w:rPr>
          <w:sz w:val="18"/>
        </w:rPr>
        <w:t>0</w:t>
      </w:r>
      <w:r w:rsidR="00EF0E2E" w:rsidRPr="00F459FA">
        <w:rPr>
          <w:sz w:val="18"/>
        </w:rPr>
        <w:t xml:space="preserve"> mln.</w:t>
      </w:r>
      <w:r w:rsidR="00764E50">
        <w:rPr>
          <w:sz w:val="18"/>
        </w:rPr>
        <w:t xml:space="preserve"> Een deel van de kosten die direct gerelateerd zijn aan </w:t>
      </w:r>
      <w:r w:rsidR="008E5767">
        <w:rPr>
          <w:sz w:val="18"/>
        </w:rPr>
        <w:t xml:space="preserve">de zorg van patiënten en cliënten </w:t>
      </w:r>
      <w:r w:rsidR="003049B1">
        <w:rPr>
          <w:sz w:val="18"/>
        </w:rPr>
        <w:t>is</w:t>
      </w:r>
      <w:r w:rsidR="00080981">
        <w:rPr>
          <w:sz w:val="18"/>
        </w:rPr>
        <w:t xml:space="preserve"> terug te vinden bij de overige kosten van </w:t>
      </w:r>
      <w:r w:rsidR="008F58A6">
        <w:rPr>
          <w:sz w:val="18"/>
        </w:rPr>
        <w:t>uitbesteed werk</w:t>
      </w:r>
      <w:r w:rsidR="003049B1">
        <w:rPr>
          <w:sz w:val="18"/>
        </w:rPr>
        <w:t xml:space="preserve">, </w:t>
      </w:r>
      <w:r w:rsidRPr="00F459FA">
        <w:rPr>
          <w:sz w:val="18"/>
        </w:rPr>
        <w:t xml:space="preserve">doordat organisaties </w:t>
      </w:r>
      <w:r w:rsidR="003049B1">
        <w:rPr>
          <w:sz w:val="18"/>
        </w:rPr>
        <w:t>steeds meer</w:t>
      </w:r>
      <w:r w:rsidRPr="00F459FA">
        <w:rPr>
          <w:sz w:val="18"/>
        </w:rPr>
        <w:t xml:space="preserve"> met onderaannemers werken. Deze uitgaven, die overigens niet de inhuur van extern personeel betreffen, </w:t>
      </w:r>
      <w:r w:rsidR="00C936FD">
        <w:rPr>
          <w:sz w:val="18"/>
        </w:rPr>
        <w:t>stijgen in 2022 met +</w:t>
      </w:r>
      <w:r w:rsidR="00B557CA">
        <w:rPr>
          <w:sz w:val="18"/>
        </w:rPr>
        <w:t>6,4</w:t>
      </w:r>
      <w:r w:rsidR="00F13020">
        <w:rPr>
          <w:sz w:val="18"/>
        </w:rPr>
        <w:t>%</w:t>
      </w:r>
      <w:r w:rsidR="004764D4">
        <w:rPr>
          <w:sz w:val="18"/>
        </w:rPr>
        <w:t xml:space="preserve"> naar € 3</w:t>
      </w:r>
      <w:r w:rsidR="00B557CA">
        <w:rPr>
          <w:sz w:val="18"/>
        </w:rPr>
        <w:t>39</w:t>
      </w:r>
      <w:r w:rsidR="00F13020">
        <w:rPr>
          <w:sz w:val="18"/>
        </w:rPr>
        <w:t>.</w:t>
      </w:r>
    </w:p>
    <w:p w14:paraId="46D9D80C" w14:textId="7BEE554F" w:rsidR="006C559B" w:rsidRPr="00F459FA" w:rsidRDefault="006C559B" w:rsidP="000C634A">
      <w:pPr>
        <w:pStyle w:val="04Tussenkop"/>
        <w:ind w:left="0"/>
        <w:rPr>
          <w:color w:val="FF0000"/>
        </w:rPr>
      </w:pPr>
    </w:p>
    <w:p w14:paraId="51A9E15A" w14:textId="05B0E0B9" w:rsidR="000C634A" w:rsidRDefault="000C634A" w:rsidP="000C634A">
      <w:pPr>
        <w:pStyle w:val="04Tussenkop"/>
        <w:rPr>
          <w:color w:val="auto"/>
        </w:rPr>
      </w:pPr>
      <w:r>
        <w:rPr>
          <w:color w:val="auto"/>
        </w:rPr>
        <w:t>Onderhouds- en energiekosten</w:t>
      </w:r>
    </w:p>
    <w:p w14:paraId="611D1ECF" w14:textId="26BDB9E4" w:rsidR="008C7E96" w:rsidRPr="00F459FA" w:rsidRDefault="00F72E25" w:rsidP="00D32FD8">
      <w:pPr>
        <w:rPr>
          <w:color w:val="FF0000"/>
        </w:rPr>
      </w:pPr>
      <w:r w:rsidRPr="00F72E25">
        <w:rPr>
          <w:color w:val="000000" w:themeColor="text1"/>
          <w:sz w:val="18"/>
        </w:rPr>
        <w:t xml:space="preserve">In 2022 geven de onderzochte organisaties € </w:t>
      </w:r>
      <w:r>
        <w:rPr>
          <w:color w:val="000000" w:themeColor="text1"/>
          <w:sz w:val="18"/>
        </w:rPr>
        <w:t>2</w:t>
      </w:r>
      <w:r w:rsidR="00B557CA">
        <w:rPr>
          <w:color w:val="000000" w:themeColor="text1"/>
          <w:sz w:val="18"/>
        </w:rPr>
        <w:t>01</w:t>
      </w:r>
      <w:r w:rsidRPr="00F72E25">
        <w:rPr>
          <w:color w:val="000000" w:themeColor="text1"/>
          <w:sz w:val="18"/>
        </w:rPr>
        <w:t xml:space="preserve"> mln. uit aan onderhoud- en energiegerelateerde kosten, </w:t>
      </w:r>
      <w:r w:rsidR="007F3605">
        <w:rPr>
          <w:color w:val="000000" w:themeColor="text1"/>
          <w:sz w:val="18"/>
        </w:rPr>
        <w:t>8</w:t>
      </w:r>
      <w:r w:rsidRPr="00F72E25">
        <w:rPr>
          <w:color w:val="000000" w:themeColor="text1"/>
          <w:sz w:val="18"/>
        </w:rPr>
        <w:t xml:space="preserve">% van hun totale inkoopkosten. Uit door Intrakoop uitgevoerde aanvullende grootboekanalyses blijkt dat circa de helft van de onderhouds- en energiekosten is toe te wijzen aan energie (51%). Het overige deel komt voor rekening van onderhoud (49%). De kosten van onderhoud en energie </w:t>
      </w:r>
      <w:r w:rsidR="002C1C1C">
        <w:rPr>
          <w:color w:val="000000" w:themeColor="text1"/>
          <w:sz w:val="18"/>
        </w:rPr>
        <w:t xml:space="preserve">laten </w:t>
      </w:r>
      <w:r w:rsidR="00F034C2" w:rsidRPr="00F72E25">
        <w:rPr>
          <w:color w:val="000000" w:themeColor="text1"/>
          <w:sz w:val="18"/>
        </w:rPr>
        <w:t xml:space="preserve">in 2022 </w:t>
      </w:r>
      <w:r w:rsidR="002C1C1C">
        <w:rPr>
          <w:color w:val="000000" w:themeColor="text1"/>
          <w:sz w:val="18"/>
        </w:rPr>
        <w:t xml:space="preserve">een </w:t>
      </w:r>
      <w:r w:rsidRPr="00F72E25">
        <w:rPr>
          <w:color w:val="000000" w:themeColor="text1"/>
          <w:sz w:val="18"/>
        </w:rPr>
        <w:t xml:space="preserve">stijging </w:t>
      </w:r>
      <w:r w:rsidR="002C1C1C">
        <w:rPr>
          <w:color w:val="000000" w:themeColor="text1"/>
          <w:sz w:val="18"/>
        </w:rPr>
        <w:t xml:space="preserve">zien </w:t>
      </w:r>
      <w:r w:rsidRPr="00F72E25">
        <w:rPr>
          <w:color w:val="000000" w:themeColor="text1"/>
          <w:sz w:val="18"/>
        </w:rPr>
        <w:t>van +</w:t>
      </w:r>
      <w:r w:rsidR="00F034C2">
        <w:rPr>
          <w:color w:val="000000" w:themeColor="text1"/>
          <w:sz w:val="18"/>
        </w:rPr>
        <w:t>5</w:t>
      </w:r>
      <w:r w:rsidR="00D42A12">
        <w:rPr>
          <w:color w:val="000000" w:themeColor="text1"/>
          <w:sz w:val="18"/>
        </w:rPr>
        <w:t>,5</w:t>
      </w:r>
      <w:r w:rsidRPr="00F72E25">
        <w:rPr>
          <w:color w:val="000000" w:themeColor="text1"/>
          <w:sz w:val="18"/>
        </w:rPr>
        <w:t xml:space="preserve">%. </w:t>
      </w:r>
      <w:r w:rsidR="00DD5A2F">
        <w:rPr>
          <w:color w:val="000000" w:themeColor="text1"/>
          <w:sz w:val="18"/>
        </w:rPr>
        <w:t>Gelet op</w:t>
      </w:r>
      <w:r w:rsidRPr="00F72E25">
        <w:rPr>
          <w:color w:val="000000" w:themeColor="text1"/>
          <w:sz w:val="18"/>
        </w:rPr>
        <w:t xml:space="preserve"> de stijging van de energieprijzen in het tweede deel van 2022 bij organisaties met een aflopend energiecontract</w:t>
      </w:r>
      <w:r w:rsidR="00033D1C">
        <w:rPr>
          <w:color w:val="000000" w:themeColor="text1"/>
          <w:sz w:val="18"/>
        </w:rPr>
        <w:t xml:space="preserve"> lijkt de totale kostentoename daarmee voor de sector </w:t>
      </w:r>
      <w:r w:rsidR="00767E1F">
        <w:rPr>
          <w:color w:val="000000" w:themeColor="text1"/>
          <w:sz w:val="18"/>
        </w:rPr>
        <w:t xml:space="preserve">enigszins </w:t>
      </w:r>
      <w:r w:rsidR="00033D1C">
        <w:rPr>
          <w:color w:val="000000" w:themeColor="text1"/>
          <w:sz w:val="18"/>
        </w:rPr>
        <w:t>mee te vallen</w:t>
      </w:r>
      <w:r w:rsidR="00D32FD8">
        <w:rPr>
          <w:color w:val="000000" w:themeColor="text1"/>
          <w:sz w:val="18"/>
        </w:rPr>
        <w:t>.</w:t>
      </w:r>
    </w:p>
    <w:p w14:paraId="3533E5B5" w14:textId="77777777" w:rsidR="008C7E96" w:rsidRPr="00F459FA" w:rsidRDefault="008C7E96" w:rsidP="008C7E96">
      <w:pPr>
        <w:pStyle w:val="02Paragraafkop"/>
        <w:rPr>
          <w:color w:val="auto"/>
        </w:rPr>
      </w:pPr>
      <w:r w:rsidRPr="00F459FA">
        <w:rPr>
          <w:color w:val="FF0000"/>
        </w:rPr>
        <w:br w:type="column"/>
      </w:r>
      <w:bookmarkStart w:id="13" w:name="_Toc148100253"/>
      <w:r w:rsidRPr="00F459FA">
        <w:rPr>
          <w:color w:val="auto"/>
        </w:rPr>
        <w:lastRenderedPageBreak/>
        <w:t>Personeelskosten</w:t>
      </w:r>
      <w:bookmarkEnd w:id="13"/>
    </w:p>
    <w:p w14:paraId="230029EC" w14:textId="1134CC80" w:rsidR="008C7E96" w:rsidRPr="00916CF6" w:rsidRDefault="00675E54" w:rsidP="008C7E96">
      <w:pPr>
        <w:pStyle w:val="Bijschrift"/>
        <w:keepNext/>
        <w:spacing w:line="250" w:lineRule="atLeast"/>
        <w:rPr>
          <w:i w:val="0"/>
          <w:iCs w:val="0"/>
          <w:color w:val="auto"/>
          <w:szCs w:val="22"/>
        </w:rPr>
      </w:pPr>
      <w:r w:rsidRPr="00916CF6">
        <w:rPr>
          <w:i w:val="0"/>
          <w:iCs w:val="0"/>
        </w:rPr>
        <w:t>In 2022 bedragen de totale personeelskosten van de GGZ-sector € 6,</w:t>
      </w:r>
      <w:r w:rsidR="009547BE">
        <w:rPr>
          <w:i w:val="0"/>
          <w:iCs w:val="0"/>
        </w:rPr>
        <w:t>4</w:t>
      </w:r>
      <w:r w:rsidRPr="00916CF6">
        <w:rPr>
          <w:i w:val="0"/>
          <w:iCs w:val="0"/>
        </w:rPr>
        <w:t xml:space="preserve"> mld. In vergelijking met 2021 is sprake van een stijging met +5,</w:t>
      </w:r>
      <w:r w:rsidR="0083333D">
        <w:rPr>
          <w:i w:val="0"/>
          <w:iCs w:val="0"/>
        </w:rPr>
        <w:t>5</w:t>
      </w:r>
      <w:r w:rsidRPr="00916CF6">
        <w:rPr>
          <w:i w:val="0"/>
          <w:iCs w:val="0"/>
        </w:rPr>
        <w:t>%.</w:t>
      </w:r>
      <w:r>
        <w:rPr>
          <w:i w:val="0"/>
          <w:iCs w:val="0"/>
        </w:rPr>
        <w:t xml:space="preserve"> </w:t>
      </w:r>
      <w:r w:rsidR="007D0EAB" w:rsidRPr="00916CF6">
        <w:rPr>
          <w:i w:val="0"/>
          <w:iCs w:val="0"/>
          <w:color w:val="auto"/>
          <w:szCs w:val="22"/>
        </w:rPr>
        <w:t>70</w:t>
      </w:r>
      <w:r w:rsidR="008C7E96" w:rsidRPr="00916CF6">
        <w:rPr>
          <w:i w:val="0"/>
          <w:iCs w:val="0"/>
          <w:color w:val="auto"/>
          <w:szCs w:val="22"/>
        </w:rPr>
        <w:t xml:space="preserve">% van de totale personeelskosten van de onderzochte organisaties in de GGZ gaat over lonen en </w:t>
      </w:r>
      <w:r w:rsidR="00916CF6" w:rsidRPr="00916CF6">
        <w:rPr>
          <w:i w:val="0"/>
          <w:iCs w:val="0"/>
          <w:color w:val="auto"/>
          <w:szCs w:val="22"/>
        </w:rPr>
        <w:t>salarissen.</w:t>
      </w:r>
      <w:r w:rsidR="00916CF6" w:rsidRPr="00916CF6">
        <w:rPr>
          <w:i w:val="0"/>
          <w:iCs w:val="0"/>
        </w:rPr>
        <w:t xml:space="preserve"> </w:t>
      </w:r>
    </w:p>
    <w:p w14:paraId="5854FC0E" w14:textId="2BEFFD23" w:rsidR="008C7E96" w:rsidRPr="00F459FA" w:rsidRDefault="008C7E96" w:rsidP="008C7E96">
      <w:pPr>
        <w:pStyle w:val="Bijschrift"/>
        <w:keepNext/>
        <w:rPr>
          <w:color w:val="auto"/>
        </w:rPr>
      </w:pPr>
      <w:r w:rsidRPr="00F459FA">
        <w:rPr>
          <w:color w:val="auto"/>
        </w:rPr>
        <w:t xml:space="preserve">Figuur </w:t>
      </w:r>
      <w:r w:rsidRPr="00F459FA">
        <w:rPr>
          <w:color w:val="auto"/>
        </w:rPr>
        <w:fldChar w:fldCharType="begin"/>
      </w:r>
      <w:r w:rsidRPr="00F459FA">
        <w:rPr>
          <w:color w:val="auto"/>
        </w:rPr>
        <w:instrText xml:space="preserve"> SEQ Figuur \* ARABIC </w:instrText>
      </w:r>
      <w:r w:rsidRPr="00F459FA">
        <w:rPr>
          <w:color w:val="auto"/>
        </w:rPr>
        <w:fldChar w:fldCharType="separate"/>
      </w:r>
      <w:r w:rsidR="00B032CF">
        <w:rPr>
          <w:noProof/>
          <w:color w:val="auto"/>
        </w:rPr>
        <w:t>8</w:t>
      </w:r>
      <w:r w:rsidRPr="00F459FA">
        <w:rPr>
          <w:color w:val="auto"/>
        </w:rPr>
        <w:fldChar w:fldCharType="end"/>
      </w:r>
      <w:r w:rsidRPr="00F459FA">
        <w:rPr>
          <w:color w:val="auto"/>
        </w:rPr>
        <w:t xml:space="preserve"> Verbijzondering personeelskosten GGZ-sector 202</w:t>
      </w:r>
      <w:r w:rsidR="007D0EAB">
        <w:rPr>
          <w:color w:val="auto"/>
        </w:rPr>
        <w:t>2</w:t>
      </w:r>
    </w:p>
    <w:p w14:paraId="4F567D33" w14:textId="77777777" w:rsidR="008C7E96" w:rsidRPr="00F459FA" w:rsidRDefault="008C7E96" w:rsidP="008C7E96">
      <w:pPr>
        <w:pStyle w:val="06Bodytekst"/>
        <w:rPr>
          <w:color w:val="FF0000"/>
        </w:rPr>
      </w:pPr>
      <w:r w:rsidRPr="00F459FA">
        <w:rPr>
          <w:noProof/>
          <w:color w:val="FF0000"/>
          <w:lang w:eastAsia="nl-NL"/>
        </w:rPr>
        <w:drawing>
          <wp:inline distT="0" distB="0" distL="0" distR="0" wp14:anchorId="472FA985" wp14:editId="30D86901">
            <wp:extent cx="4981575" cy="1933575"/>
            <wp:effectExtent l="0" t="0" r="0" b="0"/>
            <wp:docPr id="12" name="Grafie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40DFEBE" w14:textId="77777777" w:rsidR="008C7E96" w:rsidRPr="00F459FA" w:rsidRDefault="008C7E96" w:rsidP="008C7E96">
      <w:pPr>
        <w:pStyle w:val="06Bodytekst"/>
        <w:rPr>
          <w:color w:val="FF0000"/>
        </w:rPr>
      </w:pPr>
    </w:p>
    <w:p w14:paraId="67F2AA78" w14:textId="77777777" w:rsidR="008C7E96" w:rsidRPr="00F459FA" w:rsidRDefault="008C7E96" w:rsidP="008C7E96">
      <w:pPr>
        <w:pStyle w:val="06Bodytekst"/>
        <w:rPr>
          <w:color w:val="FF0000"/>
        </w:rPr>
      </w:pPr>
    </w:p>
    <w:p w14:paraId="6382A990" w14:textId="77777777" w:rsidR="008C7E96" w:rsidRPr="00F459FA" w:rsidRDefault="008C7E96" w:rsidP="008C7E96">
      <w:pPr>
        <w:pStyle w:val="06Bodytekst"/>
        <w:rPr>
          <w:color w:val="auto"/>
        </w:rPr>
      </w:pPr>
      <w:r w:rsidRPr="00F459FA">
        <w:rPr>
          <w:color w:val="auto"/>
        </w:rPr>
        <w:t>Onder de personeelskosten vallen:</w:t>
      </w:r>
    </w:p>
    <w:p w14:paraId="26AFEFB3" w14:textId="77777777" w:rsidR="008C7E96" w:rsidRPr="00F459FA" w:rsidRDefault="008C7E96" w:rsidP="008C7E96">
      <w:pPr>
        <w:pStyle w:val="06Bodytekst"/>
        <w:rPr>
          <w:color w:val="auto"/>
        </w:rPr>
      </w:pPr>
      <w:r w:rsidRPr="00F459FA">
        <w:rPr>
          <w:color w:val="auto"/>
        </w:rPr>
        <w:t>•</w:t>
      </w:r>
      <w:r w:rsidRPr="00F459FA">
        <w:rPr>
          <w:color w:val="auto"/>
        </w:rPr>
        <w:tab/>
        <w:t>Lonen en salarissen</w:t>
      </w:r>
    </w:p>
    <w:p w14:paraId="468B7F91" w14:textId="77777777" w:rsidR="008C7E96" w:rsidRPr="00F459FA" w:rsidRDefault="008C7E96" w:rsidP="008C7E96">
      <w:pPr>
        <w:pStyle w:val="06Bodytekst"/>
        <w:rPr>
          <w:color w:val="auto"/>
        </w:rPr>
      </w:pPr>
      <w:r w:rsidRPr="00F459FA">
        <w:rPr>
          <w:color w:val="auto"/>
        </w:rPr>
        <w:t>•</w:t>
      </w:r>
      <w:r w:rsidRPr="00F459FA">
        <w:rPr>
          <w:color w:val="auto"/>
        </w:rPr>
        <w:tab/>
        <w:t>Sociale lasten</w:t>
      </w:r>
    </w:p>
    <w:p w14:paraId="70A9B9D6" w14:textId="77777777" w:rsidR="008C7E96" w:rsidRPr="00F459FA" w:rsidRDefault="008C7E96" w:rsidP="008C7E96">
      <w:pPr>
        <w:pStyle w:val="06Bodytekst"/>
        <w:rPr>
          <w:color w:val="auto"/>
        </w:rPr>
      </w:pPr>
      <w:r w:rsidRPr="00F459FA">
        <w:rPr>
          <w:color w:val="auto"/>
        </w:rPr>
        <w:t>•</w:t>
      </w:r>
      <w:r w:rsidRPr="00F459FA">
        <w:rPr>
          <w:color w:val="auto"/>
        </w:rPr>
        <w:tab/>
        <w:t>Pensioenpremies</w:t>
      </w:r>
    </w:p>
    <w:p w14:paraId="3A4B309E" w14:textId="77777777" w:rsidR="008C7E96" w:rsidRPr="00F459FA" w:rsidRDefault="008C7E96" w:rsidP="008C7E96">
      <w:pPr>
        <w:pStyle w:val="06Bodytekst"/>
        <w:rPr>
          <w:color w:val="auto"/>
        </w:rPr>
      </w:pPr>
      <w:r w:rsidRPr="00F459FA">
        <w:rPr>
          <w:color w:val="auto"/>
        </w:rPr>
        <w:t>•</w:t>
      </w:r>
      <w:r w:rsidRPr="00F459FA">
        <w:rPr>
          <w:color w:val="auto"/>
        </w:rPr>
        <w:tab/>
        <w:t xml:space="preserve">Personeel niet in loondienst (inkoopgerelateerd) </w:t>
      </w:r>
    </w:p>
    <w:p w14:paraId="7194EA32" w14:textId="77777777" w:rsidR="008C7E96" w:rsidRPr="00F459FA" w:rsidRDefault="008C7E96" w:rsidP="008C7E96">
      <w:pPr>
        <w:pStyle w:val="06Bodytekst"/>
        <w:rPr>
          <w:color w:val="auto"/>
        </w:rPr>
      </w:pPr>
      <w:r w:rsidRPr="00F459FA">
        <w:rPr>
          <w:color w:val="auto"/>
        </w:rPr>
        <w:t>•</w:t>
      </w:r>
      <w:r w:rsidRPr="00F459FA">
        <w:rPr>
          <w:color w:val="auto"/>
        </w:rPr>
        <w:tab/>
        <w:t>Andere personeelskosten (grotendeels inkoopgerelateerd)</w:t>
      </w:r>
    </w:p>
    <w:p w14:paraId="54A63496" w14:textId="77777777" w:rsidR="008C7E96" w:rsidRPr="007D0EAB" w:rsidRDefault="008C7E96" w:rsidP="008C7E96">
      <w:pPr>
        <w:pStyle w:val="06Bodytekst"/>
        <w:rPr>
          <w:color w:val="FF0000"/>
        </w:rPr>
      </w:pPr>
    </w:p>
    <w:p w14:paraId="017C9F5B" w14:textId="3CFB45E8" w:rsidR="0083431F" w:rsidRPr="007D0EAB" w:rsidRDefault="008C7E96" w:rsidP="008C7E96">
      <w:pPr>
        <w:pStyle w:val="06Bodytekst"/>
        <w:rPr>
          <w:color w:val="FF0000"/>
        </w:rPr>
      </w:pPr>
      <w:r w:rsidRPr="000136CC">
        <w:t xml:space="preserve">Binnen de personeelskosten valt vooral de </w:t>
      </w:r>
      <w:r w:rsidR="003C55D3" w:rsidRPr="000136CC">
        <w:t>sterke stijging</w:t>
      </w:r>
      <w:r w:rsidRPr="000136CC">
        <w:t xml:space="preserve"> </w:t>
      </w:r>
      <w:r w:rsidR="00C21A0E" w:rsidRPr="000136CC">
        <w:t xml:space="preserve">van </w:t>
      </w:r>
      <w:r w:rsidR="000456C1">
        <w:t xml:space="preserve">kosten </w:t>
      </w:r>
      <w:r w:rsidR="00D449F2">
        <w:t xml:space="preserve">voor </w:t>
      </w:r>
      <w:r w:rsidR="00C21A0E" w:rsidRPr="000136CC">
        <w:t xml:space="preserve">personeel niet </w:t>
      </w:r>
      <w:r w:rsidR="00C21A0E" w:rsidRPr="003338E8">
        <w:t>in loondienst (PNIL) op</w:t>
      </w:r>
      <w:r w:rsidR="000A55B4" w:rsidRPr="003338E8">
        <w:t xml:space="preserve"> met +20,</w:t>
      </w:r>
      <w:r w:rsidR="00367A95">
        <w:t>1</w:t>
      </w:r>
      <w:r w:rsidR="000A55B4" w:rsidRPr="003338E8">
        <w:t>%</w:t>
      </w:r>
      <w:r w:rsidR="000136CC" w:rsidRPr="003338E8">
        <w:t>, nadat deze eerder in 2021 ook al met +14,3% waren gestegen</w:t>
      </w:r>
      <w:r w:rsidR="00C21A0E" w:rsidRPr="003338E8">
        <w:t>.</w:t>
      </w:r>
      <w:r w:rsidRPr="003338E8">
        <w:t xml:space="preserve"> </w:t>
      </w:r>
      <w:r w:rsidR="00D71456" w:rsidRPr="003338E8">
        <w:t xml:space="preserve">Met een omvang van € </w:t>
      </w:r>
      <w:r w:rsidR="006453D3" w:rsidRPr="003338E8">
        <w:t>5</w:t>
      </w:r>
      <w:r w:rsidR="00367A95">
        <w:t>49</w:t>
      </w:r>
      <w:r w:rsidR="00D71456" w:rsidRPr="003338E8">
        <w:t xml:space="preserve"> mln. zijn de kosten voor PNIL na de algemene kosten de grootste inkoopgerelateerde kostenpost binnen de GGZ. De verklaring van de toename ligt in de aanhoudende krapte op de arbeidsmarkt en de trend om werkzaamheden vaker door externe medewerkers (zzp-ers) te laten uitvoer</w:t>
      </w:r>
      <w:r w:rsidR="00D71456" w:rsidRPr="00131F1F">
        <w:t>en.</w:t>
      </w:r>
      <w:r w:rsidR="00E0430E" w:rsidRPr="00131F1F">
        <w:t xml:space="preserve"> De PNIL-ratio</w:t>
      </w:r>
      <w:r w:rsidR="00FC1EDF">
        <w:rPr>
          <w:rStyle w:val="Voetnootmarkering"/>
        </w:rPr>
        <w:footnoteReference w:id="7"/>
      </w:r>
      <w:r w:rsidR="00E0430E" w:rsidRPr="00131F1F">
        <w:t xml:space="preserve"> </w:t>
      </w:r>
      <w:r w:rsidR="00C724EE">
        <w:t>ligt</w:t>
      </w:r>
      <w:r w:rsidR="00E0430E" w:rsidRPr="00131F1F">
        <w:t xml:space="preserve"> in de GGZ </w:t>
      </w:r>
      <w:r w:rsidR="002872D8" w:rsidRPr="00131F1F">
        <w:t xml:space="preserve">gemiddeld op 8,6%, komend van </w:t>
      </w:r>
      <w:r w:rsidR="00131F1F" w:rsidRPr="00131F1F">
        <w:t>7,5% in 2021.</w:t>
      </w:r>
    </w:p>
    <w:p w14:paraId="2B1094A6" w14:textId="77777777" w:rsidR="008C7E96" w:rsidRPr="00F459FA" w:rsidRDefault="008C7E96" w:rsidP="008C7E96">
      <w:pPr>
        <w:pStyle w:val="Bijschrift"/>
        <w:keepNext/>
        <w:rPr>
          <w:color w:val="FF0000"/>
        </w:rPr>
      </w:pPr>
    </w:p>
    <w:p w14:paraId="36237288" w14:textId="473CF343" w:rsidR="008C7E96" w:rsidRPr="00F459FA" w:rsidRDefault="008C7E96" w:rsidP="008C7E96">
      <w:pPr>
        <w:pStyle w:val="Bijschrift"/>
        <w:keepNext/>
        <w:rPr>
          <w:color w:val="auto"/>
        </w:rPr>
      </w:pPr>
      <w:r w:rsidRPr="00F459FA">
        <w:rPr>
          <w:noProof/>
          <w:color w:val="auto"/>
          <w:lang w:eastAsia="nl-NL"/>
        </w:rPr>
        <w:drawing>
          <wp:anchor distT="0" distB="0" distL="114300" distR="114300" simplePos="0" relativeHeight="251658243" behindDoc="0" locked="0" layoutInCell="1" allowOverlap="1" wp14:anchorId="00FB70C4" wp14:editId="793A0C38">
            <wp:simplePos x="0" y="0"/>
            <wp:positionH relativeFrom="page">
              <wp:posOffset>4844339</wp:posOffset>
            </wp:positionH>
            <wp:positionV relativeFrom="paragraph">
              <wp:posOffset>257810</wp:posOffset>
            </wp:positionV>
            <wp:extent cx="2276475" cy="2009775"/>
            <wp:effectExtent l="0" t="0" r="0" b="0"/>
            <wp:wrapNone/>
            <wp:docPr id="16" name="Grafiek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Pr="00F459FA">
        <w:rPr>
          <w:color w:val="auto"/>
        </w:rPr>
        <w:t xml:space="preserve">Figuur </w:t>
      </w:r>
      <w:r w:rsidRPr="00F459FA">
        <w:rPr>
          <w:color w:val="auto"/>
        </w:rPr>
        <w:fldChar w:fldCharType="begin"/>
      </w:r>
      <w:r w:rsidRPr="00F459FA">
        <w:rPr>
          <w:color w:val="auto"/>
        </w:rPr>
        <w:instrText xml:space="preserve"> SEQ Figuur \* ARABIC </w:instrText>
      </w:r>
      <w:r w:rsidRPr="00F459FA">
        <w:rPr>
          <w:color w:val="auto"/>
        </w:rPr>
        <w:fldChar w:fldCharType="separate"/>
      </w:r>
      <w:r w:rsidR="00B032CF">
        <w:rPr>
          <w:noProof/>
          <w:color w:val="auto"/>
        </w:rPr>
        <w:t>9</w:t>
      </w:r>
      <w:r w:rsidRPr="00F459FA">
        <w:rPr>
          <w:color w:val="auto"/>
        </w:rPr>
        <w:fldChar w:fldCharType="end"/>
      </w:r>
      <w:r w:rsidRPr="00F459FA">
        <w:rPr>
          <w:color w:val="auto"/>
        </w:rPr>
        <w:t xml:space="preserve"> Verbijzondering personeelskosten GGZ-sector 202</w:t>
      </w:r>
      <w:r w:rsidR="001766C9">
        <w:rPr>
          <w:color w:val="auto"/>
        </w:rPr>
        <w:t>2</w:t>
      </w:r>
    </w:p>
    <w:p w14:paraId="08ED972A" w14:textId="77777777" w:rsidR="008C7E96" w:rsidRPr="00F459FA" w:rsidRDefault="008C7E96" w:rsidP="008C7E96">
      <w:pPr>
        <w:rPr>
          <w:color w:val="FF0000"/>
        </w:rPr>
      </w:pPr>
      <w:r w:rsidRPr="00F459FA">
        <w:rPr>
          <w:noProof/>
          <w:color w:val="FF0000"/>
          <w:lang w:eastAsia="nl-NL"/>
        </w:rPr>
        <w:drawing>
          <wp:inline distT="0" distB="0" distL="0" distR="0" wp14:anchorId="2D6793B5" wp14:editId="07062482">
            <wp:extent cx="3190875" cy="2200275"/>
            <wp:effectExtent l="0" t="0" r="0" b="0"/>
            <wp:docPr id="18" name="Grafiek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ECEB1A6" w14:textId="77777777" w:rsidR="001E5080" w:rsidRDefault="001E5080" w:rsidP="001E5080">
      <w:pPr>
        <w:pStyle w:val="04Tussenkop"/>
        <w:rPr>
          <w:color w:val="auto"/>
        </w:rPr>
      </w:pPr>
    </w:p>
    <w:p w14:paraId="4120DBEF" w14:textId="77777777" w:rsidR="00C341F8" w:rsidRDefault="00C341F8" w:rsidP="00AE741D">
      <w:pPr>
        <w:pStyle w:val="04Tussenkop"/>
        <w:ind w:left="0"/>
        <w:rPr>
          <w:color w:val="auto"/>
        </w:rPr>
      </w:pPr>
    </w:p>
    <w:p w14:paraId="21AAFDD5" w14:textId="7A7A4E75" w:rsidR="001E5080" w:rsidRPr="00DB0339" w:rsidRDefault="001E5080" w:rsidP="001E5080">
      <w:pPr>
        <w:pStyle w:val="04Tussenkop"/>
        <w:rPr>
          <w:color w:val="auto"/>
        </w:rPr>
      </w:pPr>
      <w:r w:rsidRPr="001B02DB">
        <w:rPr>
          <w:color w:val="auto"/>
        </w:rPr>
        <w:lastRenderedPageBreak/>
        <w:t>Verzuim</w:t>
      </w:r>
    </w:p>
    <w:p w14:paraId="093D0D0F" w14:textId="150AB130" w:rsidR="00EE67B9" w:rsidRDefault="00C97812" w:rsidP="00335ED2">
      <w:pPr>
        <w:pStyle w:val="06Bodytekst"/>
        <w:rPr>
          <w:color w:val="auto"/>
        </w:rPr>
      </w:pPr>
      <w:r w:rsidRPr="00DB0339">
        <w:rPr>
          <w:color w:val="auto"/>
        </w:rPr>
        <w:t>Het v</w:t>
      </w:r>
      <w:r w:rsidR="001E5080" w:rsidRPr="00DB0339">
        <w:rPr>
          <w:color w:val="auto"/>
        </w:rPr>
        <w:t>erzuim</w:t>
      </w:r>
      <w:r w:rsidRPr="00DB0339">
        <w:rPr>
          <w:color w:val="auto"/>
        </w:rPr>
        <w:t xml:space="preserve">percentage ligt </w:t>
      </w:r>
      <w:r w:rsidR="00E544DB" w:rsidRPr="00DB0339">
        <w:rPr>
          <w:color w:val="auto"/>
        </w:rPr>
        <w:t xml:space="preserve">in 2022 </w:t>
      </w:r>
      <w:r w:rsidRPr="00DB0339">
        <w:rPr>
          <w:color w:val="auto"/>
        </w:rPr>
        <w:t xml:space="preserve">bij de onderzochte organisaties op </w:t>
      </w:r>
      <w:r w:rsidR="001E5080" w:rsidRPr="00DB0339">
        <w:rPr>
          <w:color w:val="auto"/>
        </w:rPr>
        <w:t>8</w:t>
      </w:r>
      <w:r w:rsidR="00D312B6" w:rsidRPr="00DB0339">
        <w:rPr>
          <w:color w:val="auto"/>
        </w:rPr>
        <w:t>,</w:t>
      </w:r>
      <w:r w:rsidR="007A5BD3">
        <w:rPr>
          <w:color w:val="auto"/>
        </w:rPr>
        <w:t>1</w:t>
      </w:r>
      <w:r w:rsidR="001E5080" w:rsidRPr="00DB0339">
        <w:rPr>
          <w:color w:val="auto"/>
        </w:rPr>
        <w:t>%</w:t>
      </w:r>
      <w:r w:rsidR="00034C8E" w:rsidRPr="00DB0339">
        <w:rPr>
          <w:color w:val="auto"/>
        </w:rPr>
        <w:t>. K</w:t>
      </w:r>
      <w:r w:rsidR="00701F10" w:rsidRPr="00DB0339">
        <w:rPr>
          <w:color w:val="auto"/>
        </w:rPr>
        <w:t xml:space="preserve">omend van </w:t>
      </w:r>
      <w:r w:rsidR="00034C8E" w:rsidRPr="00DB0339">
        <w:rPr>
          <w:color w:val="auto"/>
        </w:rPr>
        <w:t xml:space="preserve">een verzuimpercentage van </w:t>
      </w:r>
      <w:r w:rsidR="00D0504F">
        <w:rPr>
          <w:color w:val="auto"/>
        </w:rPr>
        <w:t>7,</w:t>
      </w:r>
      <w:r w:rsidR="000106EA">
        <w:rPr>
          <w:color w:val="auto"/>
        </w:rPr>
        <w:t>5</w:t>
      </w:r>
      <w:r w:rsidR="00701F10" w:rsidRPr="00DB0339">
        <w:rPr>
          <w:color w:val="auto"/>
        </w:rPr>
        <w:t>%</w:t>
      </w:r>
      <w:r w:rsidR="00034C8E" w:rsidRPr="00DB0339">
        <w:rPr>
          <w:color w:val="auto"/>
        </w:rPr>
        <w:t xml:space="preserve"> </w:t>
      </w:r>
      <w:r w:rsidR="00850FE6">
        <w:rPr>
          <w:color w:val="auto"/>
        </w:rPr>
        <w:t>is ook in 2022 sprake van een verder</w:t>
      </w:r>
      <w:r w:rsidR="00034C8E" w:rsidRPr="00FC32A3">
        <w:rPr>
          <w:color w:val="auto"/>
        </w:rPr>
        <w:t xml:space="preserve"> toename</w:t>
      </w:r>
      <w:r w:rsidR="00850FE6">
        <w:rPr>
          <w:color w:val="auto"/>
        </w:rPr>
        <w:t xml:space="preserve"> van het verzuim</w:t>
      </w:r>
      <w:r w:rsidR="001E5080" w:rsidRPr="00FC32A3">
        <w:rPr>
          <w:color w:val="auto"/>
        </w:rPr>
        <w:t>.</w:t>
      </w:r>
      <w:r w:rsidR="00DB0339" w:rsidRPr="00FC32A3">
        <w:rPr>
          <w:color w:val="auto"/>
        </w:rPr>
        <w:t xml:space="preserve"> </w:t>
      </w:r>
    </w:p>
    <w:p w14:paraId="304E7B09" w14:textId="77777777" w:rsidR="00EE67B9" w:rsidRDefault="00EE67B9" w:rsidP="00335ED2">
      <w:pPr>
        <w:pStyle w:val="06Bodytekst"/>
        <w:rPr>
          <w:color w:val="auto"/>
        </w:rPr>
      </w:pPr>
    </w:p>
    <w:p w14:paraId="1CEA29CE" w14:textId="71589D0C" w:rsidR="00335ED2" w:rsidRPr="00DB0339" w:rsidRDefault="00335ED2" w:rsidP="00335ED2">
      <w:pPr>
        <w:pStyle w:val="06Bodytekst"/>
        <w:rPr>
          <w:color w:val="auto"/>
        </w:rPr>
      </w:pPr>
      <w:r w:rsidRPr="00FC32A3">
        <w:rPr>
          <w:color w:val="auto"/>
        </w:rPr>
        <w:t>Van de totale loonsom inclusief sociale lasten en premies van € 5,</w:t>
      </w:r>
      <w:r w:rsidR="00A34D21">
        <w:rPr>
          <w:color w:val="auto"/>
        </w:rPr>
        <w:t>6</w:t>
      </w:r>
      <w:r w:rsidR="00613218" w:rsidRPr="00FC32A3">
        <w:rPr>
          <w:color w:val="auto"/>
        </w:rPr>
        <w:t xml:space="preserve"> </w:t>
      </w:r>
      <w:r w:rsidRPr="00EE67B9">
        <w:rPr>
          <w:color w:val="auto"/>
        </w:rPr>
        <w:t xml:space="preserve">mld. is hiermee naar schatting </w:t>
      </w:r>
      <w:r w:rsidR="00A34D21">
        <w:rPr>
          <w:color w:val="auto"/>
        </w:rPr>
        <w:t xml:space="preserve">ruim </w:t>
      </w:r>
      <w:r w:rsidRPr="00EE67B9">
        <w:rPr>
          <w:color w:val="auto"/>
        </w:rPr>
        <w:t xml:space="preserve">€ </w:t>
      </w:r>
      <w:r w:rsidR="00D94742" w:rsidRPr="00EE67B9">
        <w:rPr>
          <w:color w:val="auto"/>
        </w:rPr>
        <w:t>4</w:t>
      </w:r>
      <w:r w:rsidR="00A34D21">
        <w:rPr>
          <w:color w:val="auto"/>
        </w:rPr>
        <w:t>50</w:t>
      </w:r>
      <w:r w:rsidR="00D94742" w:rsidRPr="00EE67B9">
        <w:rPr>
          <w:color w:val="auto"/>
        </w:rPr>
        <w:t xml:space="preserve"> mln</w:t>
      </w:r>
      <w:r w:rsidRPr="00EE67B9">
        <w:rPr>
          <w:color w:val="auto"/>
        </w:rPr>
        <w:t>. toe te schrijven aan medewerkers die door ziekte improductief zijn. In vergelijking met 2019, aan de vooravond van Covid-19, ligt het verzuim 2,</w:t>
      </w:r>
      <w:r w:rsidR="00A34D21">
        <w:rPr>
          <w:color w:val="auto"/>
        </w:rPr>
        <w:t>1</w:t>
      </w:r>
      <w:r w:rsidR="00FC6DFC" w:rsidRPr="00EE67B9">
        <w:rPr>
          <w:color w:val="auto"/>
        </w:rPr>
        <w:t xml:space="preserve"> </w:t>
      </w:r>
      <w:r w:rsidRPr="00EE67B9">
        <w:rPr>
          <w:color w:val="auto"/>
        </w:rPr>
        <w:t>procentpunt</w:t>
      </w:r>
      <w:r w:rsidR="008247A9">
        <w:rPr>
          <w:color w:val="auto"/>
        </w:rPr>
        <w:t>en</w:t>
      </w:r>
      <w:r w:rsidRPr="00EE67B9">
        <w:rPr>
          <w:color w:val="auto"/>
        </w:rPr>
        <w:t xml:space="preserve"> hoger. Dit surplus betekent voor de onderzochte organisaties dat zij in 2022</w:t>
      </w:r>
      <w:r w:rsidR="00BB3AC8" w:rsidRPr="00EE67B9">
        <w:rPr>
          <w:color w:val="auto"/>
        </w:rPr>
        <w:t xml:space="preserve"> </w:t>
      </w:r>
      <w:r w:rsidR="00D3110E">
        <w:rPr>
          <w:color w:val="auto"/>
        </w:rPr>
        <w:t>bijna</w:t>
      </w:r>
      <w:r w:rsidR="00BB3AC8" w:rsidRPr="00EE67B9">
        <w:rPr>
          <w:color w:val="auto"/>
        </w:rPr>
        <w:t xml:space="preserve"> € </w:t>
      </w:r>
      <w:r w:rsidR="00D3110E">
        <w:rPr>
          <w:color w:val="auto"/>
        </w:rPr>
        <w:t>120</w:t>
      </w:r>
      <w:r w:rsidRPr="00EE67B9">
        <w:rPr>
          <w:color w:val="auto"/>
        </w:rPr>
        <w:t xml:space="preserve"> mln. van de eerder genoemde € </w:t>
      </w:r>
      <w:r w:rsidR="00A34D21">
        <w:rPr>
          <w:color w:val="auto"/>
        </w:rPr>
        <w:t>450</w:t>
      </w:r>
      <w:r w:rsidR="00BB3AC8" w:rsidRPr="00EE67B9">
        <w:rPr>
          <w:color w:val="auto"/>
        </w:rPr>
        <w:t xml:space="preserve"> mln</w:t>
      </w:r>
      <w:r w:rsidRPr="00EE67B9">
        <w:rPr>
          <w:color w:val="auto"/>
        </w:rPr>
        <w:t xml:space="preserve">. extra aan loonkosten kwijt zijn voor improductieve medewerkers. Hierbij zijn de vervangingskosten (extra inzet collega’s, uitzendkrachten, PNIL) en de effecten die een hoog verzuim heeft op een lagere productie en kwaliteit van zorg nog niet meegerekend.     </w:t>
      </w:r>
    </w:p>
    <w:p w14:paraId="22E49B3E" w14:textId="77777777" w:rsidR="00EE67B9" w:rsidRDefault="00EE67B9" w:rsidP="001E5080">
      <w:pPr>
        <w:pStyle w:val="06Bodytekst"/>
        <w:rPr>
          <w:color w:val="FF0000"/>
        </w:rPr>
      </w:pPr>
    </w:p>
    <w:p w14:paraId="4BCAF26C" w14:textId="780CECEE" w:rsidR="001E5080" w:rsidRPr="00157D4D" w:rsidRDefault="001E5080" w:rsidP="001E5080">
      <w:pPr>
        <w:pStyle w:val="06Bodytekst"/>
        <w:rPr>
          <w:color w:val="auto"/>
        </w:rPr>
      </w:pPr>
      <w:r w:rsidRPr="00157D4D">
        <w:rPr>
          <w:color w:val="auto"/>
        </w:rPr>
        <w:t>In vergelijking met andere deelsectoren in de gezondheidszorg</w:t>
      </w:r>
      <w:r w:rsidR="00D00896" w:rsidRPr="00157D4D">
        <w:rPr>
          <w:color w:val="auto"/>
        </w:rPr>
        <w:t xml:space="preserve">, </w:t>
      </w:r>
      <w:r w:rsidRPr="00157D4D">
        <w:rPr>
          <w:color w:val="auto"/>
        </w:rPr>
        <w:t xml:space="preserve">heeft de </w:t>
      </w:r>
      <w:r w:rsidR="00D00896" w:rsidRPr="00157D4D">
        <w:rPr>
          <w:color w:val="auto"/>
        </w:rPr>
        <w:t xml:space="preserve">GGZ </w:t>
      </w:r>
      <w:r w:rsidRPr="00157D4D">
        <w:rPr>
          <w:color w:val="auto"/>
        </w:rPr>
        <w:t>te maken met</w:t>
      </w:r>
      <w:r w:rsidR="00D00896" w:rsidRPr="00157D4D">
        <w:rPr>
          <w:color w:val="auto"/>
        </w:rPr>
        <w:t xml:space="preserve"> een lager verzuim dan de ouderenzorg of de gehan</w:t>
      </w:r>
      <w:r w:rsidR="007E1BBF" w:rsidRPr="00157D4D">
        <w:rPr>
          <w:color w:val="auto"/>
        </w:rPr>
        <w:t>dicaptenzorg, maar ligt het hoger dan bij de ziekenhuizen</w:t>
      </w:r>
      <w:r w:rsidRPr="00157D4D">
        <w:rPr>
          <w:color w:val="auto"/>
        </w:rPr>
        <w:t>. Gepaard met een structureel tekort aan medewerkers, staat de sector hiermee voor een grote uitdaging.</w:t>
      </w:r>
    </w:p>
    <w:p w14:paraId="65101C42" w14:textId="77777777" w:rsidR="00DF6695" w:rsidRDefault="00DF6695" w:rsidP="008C7E96">
      <w:pPr>
        <w:pStyle w:val="06Bodytekst"/>
        <w:rPr>
          <w:color w:val="FF0000"/>
        </w:rPr>
      </w:pPr>
    </w:p>
    <w:p w14:paraId="4E5C2B8C" w14:textId="272B3AF0" w:rsidR="00DF6695" w:rsidRPr="00133EF4" w:rsidRDefault="00DF6695" w:rsidP="00133EF4">
      <w:pPr>
        <w:pStyle w:val="04Tussenkop"/>
        <w:rPr>
          <w:color w:val="auto"/>
        </w:rPr>
      </w:pPr>
      <w:r w:rsidRPr="00133EF4">
        <w:rPr>
          <w:color w:val="auto"/>
        </w:rPr>
        <w:t>Vacatures</w:t>
      </w:r>
    </w:p>
    <w:p w14:paraId="167E2F78" w14:textId="4F1A20F2" w:rsidR="00DF6695" w:rsidRPr="00133EF4" w:rsidRDefault="00DF6695" w:rsidP="00DF6695">
      <w:pPr>
        <w:pStyle w:val="06Bodytekst"/>
        <w:rPr>
          <w:color w:val="auto"/>
        </w:rPr>
      </w:pPr>
      <w:r w:rsidRPr="00133EF4">
        <w:rPr>
          <w:color w:val="auto"/>
        </w:rPr>
        <w:t>Met het verder toegenomen verzuim laat de sector opnieuw een sterke behoefte aan nieuwe medewerkers zien. In 2022 stijgt het aantal cliëntgebonden vacatures met +</w:t>
      </w:r>
      <w:r w:rsidR="00695864">
        <w:rPr>
          <w:color w:val="auto"/>
        </w:rPr>
        <w:t>8,7</w:t>
      </w:r>
      <w:r w:rsidRPr="00133EF4">
        <w:rPr>
          <w:color w:val="auto"/>
        </w:rPr>
        <w:t xml:space="preserve">%. In 2022 hebben de onderzochte organisaties </w:t>
      </w:r>
      <w:r w:rsidR="00654CB9">
        <w:rPr>
          <w:color w:val="auto"/>
        </w:rPr>
        <w:t>5.606</w:t>
      </w:r>
      <w:r w:rsidRPr="00133EF4">
        <w:rPr>
          <w:color w:val="auto"/>
        </w:rPr>
        <w:t xml:space="preserve"> cliëntgebonden vacatures, waarvan </w:t>
      </w:r>
      <w:r w:rsidR="00026387">
        <w:rPr>
          <w:color w:val="auto"/>
        </w:rPr>
        <w:t xml:space="preserve">zo’n 56% </w:t>
      </w:r>
      <w:r w:rsidRPr="00133EF4">
        <w:rPr>
          <w:color w:val="auto"/>
        </w:rPr>
        <w:t>moeilijk vervulbaar</w:t>
      </w:r>
      <w:r w:rsidR="00507C45">
        <w:rPr>
          <w:color w:val="auto"/>
        </w:rPr>
        <w:t xml:space="preserve"> is</w:t>
      </w:r>
      <w:r w:rsidR="00133EF4" w:rsidRPr="00133EF4">
        <w:rPr>
          <w:color w:val="auto"/>
        </w:rPr>
        <w:t>.</w:t>
      </w:r>
      <w:r w:rsidR="00507C45">
        <w:rPr>
          <w:color w:val="auto"/>
        </w:rPr>
        <w:t xml:space="preserve"> </w:t>
      </w:r>
      <w:r w:rsidRPr="00133EF4">
        <w:rPr>
          <w:color w:val="auto"/>
        </w:rPr>
        <w:t xml:space="preserve"> Dit zijn vacatures die langer dan drie maanden open staan zonder een geschikte kandidaat te vinden.</w:t>
      </w:r>
    </w:p>
    <w:p w14:paraId="772D4D4F" w14:textId="77777777" w:rsidR="00DF6695" w:rsidRPr="001E5080" w:rsidRDefault="00DF6695" w:rsidP="008C7E96">
      <w:pPr>
        <w:pStyle w:val="06Bodytekst"/>
        <w:rPr>
          <w:color w:val="FF0000"/>
        </w:rPr>
      </w:pPr>
    </w:p>
    <w:p w14:paraId="26F7C933" w14:textId="36CC1ADA" w:rsidR="008C7E96" w:rsidRPr="00F459FA" w:rsidRDefault="008C7E96" w:rsidP="00390E88">
      <w:pPr>
        <w:spacing w:after="160" w:line="259" w:lineRule="auto"/>
        <w:rPr>
          <w:color w:val="FF0000"/>
        </w:rPr>
      </w:pPr>
    </w:p>
    <w:p w14:paraId="0AEE665F" w14:textId="77777777" w:rsidR="008C7E96" w:rsidRPr="00F459FA" w:rsidRDefault="008C7E96" w:rsidP="008C7E96">
      <w:pPr>
        <w:spacing w:after="160" w:line="259" w:lineRule="auto"/>
        <w:rPr>
          <w:i/>
          <w:iCs/>
          <w:color w:val="FF0000"/>
          <w:sz w:val="18"/>
          <w:szCs w:val="18"/>
        </w:rPr>
      </w:pPr>
      <w:r w:rsidRPr="00F459FA">
        <w:rPr>
          <w:color w:val="FF0000"/>
        </w:rPr>
        <w:br w:type="page"/>
      </w:r>
    </w:p>
    <w:p w14:paraId="76DA10DE" w14:textId="764AE892" w:rsidR="008C7E96" w:rsidRPr="00F459FA" w:rsidRDefault="008C7E96" w:rsidP="008C7E96">
      <w:pPr>
        <w:spacing w:after="160" w:line="250" w:lineRule="atLeast"/>
        <w:rPr>
          <w:sz w:val="18"/>
          <w:szCs w:val="18"/>
        </w:rPr>
      </w:pPr>
      <w:r w:rsidRPr="00F459FA">
        <w:rPr>
          <w:sz w:val="18"/>
          <w:szCs w:val="18"/>
        </w:rPr>
        <w:lastRenderedPageBreak/>
        <w:t>© 202</w:t>
      </w:r>
      <w:r w:rsidR="00B032CF">
        <w:rPr>
          <w:sz w:val="18"/>
          <w:szCs w:val="18"/>
        </w:rPr>
        <w:t>3</w:t>
      </w:r>
      <w:r w:rsidRPr="00F459FA">
        <w:rPr>
          <w:sz w:val="18"/>
          <w:szCs w:val="18"/>
        </w:rPr>
        <w:t xml:space="preserve"> Intrakoop en Verstegen accountants en adviseurs. Overname of reproductie van de inhoud van deze rapportage, op welke wijze dan ook, is uitsluitend toegestaan met bronvermelding ‘Intrakoop en Verstegen accountants en adviseurs: Jaarverslagenanalyse Zorgsector 202</w:t>
      </w:r>
      <w:r w:rsidR="00B032CF">
        <w:rPr>
          <w:sz w:val="18"/>
          <w:szCs w:val="18"/>
        </w:rPr>
        <w:t>2</w:t>
      </w:r>
      <w:r w:rsidRPr="00F459FA">
        <w:rPr>
          <w:sz w:val="18"/>
          <w:szCs w:val="18"/>
        </w:rPr>
        <w:t>’. Het gegevensbestand dat ten grondslag ligt aan deze rapportage is eigendom van Intrakoop en voor geïnteresseerden tegen vergoeding opvraagbaar.</w:t>
      </w:r>
    </w:p>
    <w:p w14:paraId="26C603FE" w14:textId="77777777" w:rsidR="008C7E96" w:rsidRPr="00F459FA" w:rsidRDefault="008C7E96" w:rsidP="008C7E96">
      <w:pPr>
        <w:spacing w:after="160" w:line="259" w:lineRule="auto"/>
        <w:rPr>
          <w:sz w:val="18"/>
          <w:szCs w:val="18"/>
        </w:rPr>
      </w:pPr>
      <w:r w:rsidRPr="00F459FA">
        <w:rPr>
          <w:rFonts w:ascii="Arial" w:hAnsi="Arial" w:cs="Arial"/>
          <w:noProof/>
          <w:sz w:val="20"/>
          <w:szCs w:val="20"/>
          <w:lang w:eastAsia="nl-NL"/>
        </w:rPr>
        <w:drawing>
          <wp:anchor distT="0" distB="0" distL="114300" distR="114300" simplePos="0" relativeHeight="251658241" behindDoc="1" locked="0" layoutInCell="1" allowOverlap="1" wp14:anchorId="30115491" wp14:editId="23E6179E">
            <wp:simplePos x="0" y="0"/>
            <wp:positionH relativeFrom="page">
              <wp:posOffset>4664710</wp:posOffset>
            </wp:positionH>
            <wp:positionV relativeFrom="paragraph">
              <wp:posOffset>186690</wp:posOffset>
            </wp:positionV>
            <wp:extent cx="3077019" cy="908050"/>
            <wp:effectExtent l="0" t="0" r="9525" b="635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erstegen.png"/>
                    <pic:cNvPicPr/>
                  </pic:nvPicPr>
                  <pic:blipFill>
                    <a:blip r:embed="rId20">
                      <a:extLst>
                        <a:ext uri="{28A0092B-C50C-407E-A947-70E740481C1C}">
                          <a14:useLocalDpi xmlns:a14="http://schemas.microsoft.com/office/drawing/2010/main" val="0"/>
                        </a:ext>
                      </a:extLst>
                    </a:blip>
                    <a:stretch>
                      <a:fillRect/>
                    </a:stretch>
                  </pic:blipFill>
                  <pic:spPr>
                    <a:xfrm>
                      <a:off x="0" y="0"/>
                      <a:ext cx="3077019" cy="908050"/>
                    </a:xfrm>
                    <a:prstGeom prst="rect">
                      <a:avLst/>
                    </a:prstGeom>
                  </pic:spPr>
                </pic:pic>
              </a:graphicData>
            </a:graphic>
            <wp14:sizeRelH relativeFrom="page">
              <wp14:pctWidth>0</wp14:pctWidth>
            </wp14:sizeRelH>
            <wp14:sizeRelV relativeFrom="page">
              <wp14:pctHeight>0</wp14:pctHeight>
            </wp14:sizeRelV>
          </wp:anchor>
        </w:drawing>
      </w:r>
    </w:p>
    <w:p w14:paraId="1593FE1E" w14:textId="77777777" w:rsidR="008C7E96" w:rsidRPr="00F459FA" w:rsidRDefault="008C7E96" w:rsidP="008C7E96">
      <w:pPr>
        <w:spacing w:after="160" w:line="259" w:lineRule="auto"/>
        <w:rPr>
          <w:sz w:val="18"/>
          <w:szCs w:val="18"/>
        </w:rPr>
      </w:pPr>
      <w:r w:rsidRPr="00F459FA">
        <w:rPr>
          <w:noProof/>
          <w:sz w:val="18"/>
          <w:szCs w:val="18"/>
          <w:lang w:eastAsia="nl-NL"/>
        </w:rPr>
        <w:drawing>
          <wp:anchor distT="0" distB="0" distL="114300" distR="114300" simplePos="0" relativeHeight="251658242" behindDoc="0" locked="0" layoutInCell="1" allowOverlap="1" wp14:anchorId="4D24D32D" wp14:editId="18C649D4">
            <wp:simplePos x="0" y="0"/>
            <wp:positionH relativeFrom="margin">
              <wp:posOffset>-95250</wp:posOffset>
            </wp:positionH>
            <wp:positionV relativeFrom="paragraph">
              <wp:posOffset>124460</wp:posOffset>
            </wp:positionV>
            <wp:extent cx="2238375" cy="503176"/>
            <wp:effectExtent l="0" t="0" r="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ntrakoop.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38375" cy="503176"/>
                    </a:xfrm>
                    <a:prstGeom prst="rect">
                      <a:avLst/>
                    </a:prstGeom>
                  </pic:spPr>
                </pic:pic>
              </a:graphicData>
            </a:graphic>
            <wp14:sizeRelH relativeFrom="page">
              <wp14:pctWidth>0</wp14:pctWidth>
            </wp14:sizeRelH>
            <wp14:sizeRelV relativeFrom="page">
              <wp14:pctHeight>0</wp14:pctHeight>
            </wp14:sizeRelV>
          </wp:anchor>
        </w:drawing>
      </w:r>
    </w:p>
    <w:p w14:paraId="69888C61" w14:textId="77777777" w:rsidR="008C7E96" w:rsidRPr="00F459FA" w:rsidRDefault="008C7E96" w:rsidP="008C7E96">
      <w:pPr>
        <w:spacing w:after="160" w:line="259" w:lineRule="auto"/>
        <w:rPr>
          <w:sz w:val="18"/>
          <w:szCs w:val="18"/>
        </w:rPr>
      </w:pPr>
    </w:p>
    <w:p w14:paraId="367E4A05" w14:textId="77777777" w:rsidR="008C7E96" w:rsidRPr="00F459FA" w:rsidRDefault="008C7E96" w:rsidP="008C7E96">
      <w:pPr>
        <w:spacing w:after="160" w:line="259" w:lineRule="auto"/>
        <w:rPr>
          <w:sz w:val="18"/>
          <w:szCs w:val="18"/>
        </w:rPr>
      </w:pPr>
    </w:p>
    <w:p w14:paraId="25EA610F" w14:textId="3145BDB8" w:rsidR="008C7E96" w:rsidRPr="002E4ABA" w:rsidRDefault="008C7E96" w:rsidP="008C7E96">
      <w:pPr>
        <w:spacing w:after="160" w:line="250" w:lineRule="atLeast"/>
        <w:rPr>
          <w:sz w:val="18"/>
          <w:szCs w:val="18"/>
        </w:rPr>
      </w:pPr>
      <w:r w:rsidRPr="00F459FA">
        <w:rPr>
          <w:b/>
          <w:sz w:val="18"/>
          <w:szCs w:val="18"/>
        </w:rPr>
        <w:t xml:space="preserve">Intrakoop u.a.       </w:t>
      </w:r>
      <w:r w:rsidRPr="00F459FA">
        <w:rPr>
          <w:sz w:val="18"/>
          <w:szCs w:val="18"/>
        </w:rPr>
        <w:t xml:space="preserve">                                             </w:t>
      </w:r>
      <w:r w:rsidRPr="00F459FA">
        <w:rPr>
          <w:sz w:val="18"/>
          <w:szCs w:val="18"/>
        </w:rPr>
        <w:tab/>
      </w:r>
      <w:r w:rsidRPr="00F459FA">
        <w:rPr>
          <w:b/>
          <w:sz w:val="18"/>
          <w:szCs w:val="18"/>
        </w:rPr>
        <w:t>Verstegen accountants en adviseurs</w:t>
      </w:r>
      <w:r w:rsidRPr="00F459FA">
        <w:rPr>
          <w:b/>
          <w:sz w:val="18"/>
          <w:szCs w:val="18"/>
        </w:rPr>
        <w:br/>
      </w:r>
      <w:r w:rsidRPr="00F459FA">
        <w:rPr>
          <w:sz w:val="18"/>
          <w:szCs w:val="18"/>
        </w:rPr>
        <w:t>Regterweistraat 11a, 4181 CE Waardenburg</w:t>
      </w:r>
      <w:r w:rsidRPr="00F459FA">
        <w:rPr>
          <w:sz w:val="18"/>
          <w:szCs w:val="18"/>
        </w:rPr>
        <w:tab/>
        <w:t>Noordendijk 189, 3311 RN Dordrecht</w:t>
      </w:r>
      <w:r w:rsidRPr="00F459FA">
        <w:rPr>
          <w:sz w:val="18"/>
          <w:szCs w:val="18"/>
        </w:rPr>
        <w:br/>
        <w:t xml:space="preserve">Postbus 67, 4180 BB Waardenburg                   </w:t>
      </w:r>
      <w:r w:rsidRPr="00F459FA">
        <w:rPr>
          <w:sz w:val="18"/>
          <w:szCs w:val="18"/>
        </w:rPr>
        <w:tab/>
        <w:t>Postbus 574, 3300 AN Dordrecht</w:t>
      </w:r>
      <w:r w:rsidRPr="00F459FA">
        <w:rPr>
          <w:sz w:val="18"/>
          <w:szCs w:val="18"/>
        </w:rPr>
        <w:br/>
        <w:t>www.intrakoop.nl</w:t>
      </w:r>
      <w:r w:rsidR="00AE741D">
        <w:rPr>
          <w:sz w:val="18"/>
          <w:szCs w:val="18"/>
        </w:rPr>
        <w:tab/>
      </w:r>
      <w:r w:rsidRPr="00F459FA">
        <w:rPr>
          <w:sz w:val="18"/>
          <w:szCs w:val="18"/>
        </w:rPr>
        <w:t xml:space="preserve"> </w:t>
      </w:r>
      <w:r w:rsidR="00AE741D">
        <w:rPr>
          <w:sz w:val="18"/>
          <w:szCs w:val="18"/>
        </w:rPr>
        <w:tab/>
      </w:r>
      <w:r w:rsidRPr="00F459FA">
        <w:rPr>
          <w:sz w:val="18"/>
          <w:szCs w:val="18"/>
        </w:rPr>
        <w:t xml:space="preserve">                                     </w:t>
      </w:r>
      <w:r w:rsidRPr="00F459FA">
        <w:rPr>
          <w:sz w:val="18"/>
          <w:szCs w:val="18"/>
        </w:rPr>
        <w:tab/>
        <w:t xml:space="preserve">verstegenaccountants.nl   </w:t>
      </w:r>
      <w:r w:rsidRPr="00F459FA">
        <w:rPr>
          <w:sz w:val="18"/>
          <w:szCs w:val="18"/>
        </w:rPr>
        <w:br/>
        <w:t xml:space="preserve">twitter.com/intrakoop                                  </w:t>
      </w:r>
      <w:r w:rsidRPr="00F459FA">
        <w:rPr>
          <w:sz w:val="18"/>
          <w:szCs w:val="18"/>
        </w:rPr>
        <w:tab/>
      </w:r>
      <w:r w:rsidR="00AE741D">
        <w:rPr>
          <w:sz w:val="18"/>
          <w:szCs w:val="18"/>
        </w:rPr>
        <w:tab/>
      </w:r>
      <w:r w:rsidRPr="00F459FA">
        <w:rPr>
          <w:sz w:val="18"/>
          <w:szCs w:val="18"/>
        </w:rPr>
        <w:t>twitter.com/VerstegenAcc</w:t>
      </w:r>
    </w:p>
    <w:p w14:paraId="238BC31F" w14:textId="77777777" w:rsidR="008C7E96" w:rsidRPr="002E4ABA" w:rsidRDefault="008C7E96" w:rsidP="008C7E96">
      <w:pPr>
        <w:pStyle w:val="06Bodytekst"/>
        <w:rPr>
          <w:color w:val="FF0000"/>
        </w:rPr>
      </w:pPr>
    </w:p>
    <w:sectPr w:rsidR="008C7E96" w:rsidRPr="002E4ABA" w:rsidSect="00786074">
      <w:headerReference w:type="even" r:id="rId22"/>
      <w:headerReference w:type="default" r:id="rId23"/>
      <w:footerReference w:type="default" r:id="rId24"/>
      <w:headerReference w:type="first" r:id="rId25"/>
      <w:footerReference w:type="first" r:id="rId26"/>
      <w:pgSz w:w="11906" w:h="16838"/>
      <w:pgMar w:top="1134" w:right="680" w:bottom="1418" w:left="3090"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5D066" w14:textId="77777777" w:rsidR="00011C0B" w:rsidRDefault="00011C0B" w:rsidP="00E71E71">
      <w:pPr>
        <w:spacing w:line="240" w:lineRule="auto"/>
      </w:pPr>
      <w:r>
        <w:separator/>
      </w:r>
    </w:p>
  </w:endnote>
  <w:endnote w:type="continuationSeparator" w:id="0">
    <w:p w14:paraId="5E4EBF69" w14:textId="77777777" w:rsidR="00011C0B" w:rsidRDefault="00011C0B" w:rsidP="00E71E71">
      <w:pPr>
        <w:spacing w:line="240" w:lineRule="auto"/>
      </w:pPr>
      <w:r>
        <w:continuationSeparator/>
      </w:r>
    </w:p>
  </w:endnote>
  <w:endnote w:type="continuationNotice" w:id="1">
    <w:p w14:paraId="673B3729" w14:textId="77777777" w:rsidR="00011C0B" w:rsidRDefault="00011C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C459" w14:textId="77777777" w:rsidR="001706E6" w:rsidRDefault="001706E6">
    <w:pPr>
      <w:pStyle w:val="Voettekst"/>
    </w:pPr>
    <w:r>
      <w:rPr>
        <w:noProof/>
        <w:lang w:eastAsia="nl-NL"/>
      </w:rPr>
      <w:drawing>
        <wp:anchor distT="0" distB="0" distL="114300" distR="114300" simplePos="0" relativeHeight="251658245" behindDoc="1" locked="0" layoutInCell="1" allowOverlap="1" wp14:anchorId="504BFFF2" wp14:editId="0EA6C1CE">
          <wp:simplePos x="0" y="0"/>
          <wp:positionH relativeFrom="page">
            <wp:posOffset>396240</wp:posOffset>
          </wp:positionH>
          <wp:positionV relativeFrom="page">
            <wp:posOffset>10063480</wp:posOffset>
          </wp:positionV>
          <wp:extent cx="1512000" cy="324000"/>
          <wp:effectExtent l="0" t="0" r="12065" b="635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trakoop_Payoff_300.png"/>
                  <pic:cNvPicPr/>
                </pic:nvPicPr>
                <pic:blipFill>
                  <a:blip r:embed="rId1">
                    <a:extLst>
                      <a:ext uri="{28A0092B-C50C-407E-A947-70E740481C1C}">
                        <a14:useLocalDpi xmlns:a14="http://schemas.microsoft.com/office/drawing/2010/main" val="0"/>
                      </a:ext>
                    </a:extLst>
                  </a:blip>
                  <a:stretch>
                    <a:fillRect/>
                  </a:stretch>
                </pic:blipFill>
                <pic:spPr>
                  <a:xfrm>
                    <a:off x="0" y="0"/>
                    <a:ext cx="1512000" cy="324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58242" behindDoc="1" locked="0" layoutInCell="1" allowOverlap="1" wp14:anchorId="2E65BBFA" wp14:editId="0FE92BE2">
          <wp:simplePos x="0" y="0"/>
          <wp:positionH relativeFrom="page">
            <wp:posOffset>4752340</wp:posOffset>
          </wp:positionH>
          <wp:positionV relativeFrom="page">
            <wp:posOffset>9937115</wp:posOffset>
          </wp:positionV>
          <wp:extent cx="2484000" cy="5400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rakoop_Logo_300.png"/>
                  <pic:cNvPicPr/>
                </pic:nvPicPr>
                <pic:blipFill>
                  <a:blip r:embed="rId2">
                    <a:extLst>
                      <a:ext uri="{28A0092B-C50C-407E-A947-70E740481C1C}">
                        <a14:useLocalDpi xmlns:a14="http://schemas.microsoft.com/office/drawing/2010/main" val="0"/>
                      </a:ext>
                    </a:extLst>
                  </a:blip>
                  <a:stretch>
                    <a:fillRect/>
                  </a:stretch>
                </pic:blipFill>
                <pic:spPr>
                  <a:xfrm>
                    <a:off x="0" y="0"/>
                    <a:ext cx="2484000"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ECD0" w14:textId="77777777" w:rsidR="001706E6" w:rsidRDefault="001706E6">
    <w:pPr>
      <w:pStyle w:val="Voettekst"/>
    </w:pPr>
    <w:r>
      <w:rPr>
        <w:noProof/>
        <w:lang w:eastAsia="nl-NL"/>
      </w:rPr>
      <w:drawing>
        <wp:anchor distT="0" distB="0" distL="114300" distR="114300" simplePos="0" relativeHeight="251658244" behindDoc="1" locked="0" layoutInCell="1" allowOverlap="1" wp14:anchorId="5D0FCC72" wp14:editId="42230D20">
          <wp:simplePos x="0" y="0"/>
          <wp:positionH relativeFrom="page">
            <wp:posOffset>396240</wp:posOffset>
          </wp:positionH>
          <wp:positionV relativeFrom="page">
            <wp:posOffset>10063480</wp:posOffset>
          </wp:positionV>
          <wp:extent cx="1512000" cy="324000"/>
          <wp:effectExtent l="0" t="0" r="12065" b="635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trakoop_Payoff_300.png"/>
                  <pic:cNvPicPr/>
                </pic:nvPicPr>
                <pic:blipFill>
                  <a:blip r:embed="rId1">
                    <a:extLst>
                      <a:ext uri="{28A0092B-C50C-407E-A947-70E740481C1C}">
                        <a14:useLocalDpi xmlns:a14="http://schemas.microsoft.com/office/drawing/2010/main" val="0"/>
                      </a:ext>
                    </a:extLst>
                  </a:blip>
                  <a:stretch>
                    <a:fillRect/>
                  </a:stretch>
                </pic:blipFill>
                <pic:spPr>
                  <a:xfrm>
                    <a:off x="0" y="0"/>
                    <a:ext cx="1512000" cy="324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58241" behindDoc="1" locked="0" layoutInCell="1" allowOverlap="1" wp14:anchorId="55BB6B0D" wp14:editId="1206B72E">
          <wp:simplePos x="0" y="0"/>
          <wp:positionH relativeFrom="page">
            <wp:posOffset>4752340</wp:posOffset>
          </wp:positionH>
          <wp:positionV relativeFrom="page">
            <wp:posOffset>9937115</wp:posOffset>
          </wp:positionV>
          <wp:extent cx="2484000" cy="5400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rakoop_Logo_300.png"/>
                  <pic:cNvPicPr/>
                </pic:nvPicPr>
                <pic:blipFill>
                  <a:blip r:embed="rId2">
                    <a:extLst>
                      <a:ext uri="{28A0092B-C50C-407E-A947-70E740481C1C}">
                        <a14:useLocalDpi xmlns:a14="http://schemas.microsoft.com/office/drawing/2010/main" val="0"/>
                      </a:ext>
                    </a:extLst>
                  </a:blip>
                  <a:stretch>
                    <a:fillRect/>
                  </a:stretch>
                </pic:blipFill>
                <pic:spPr>
                  <a:xfrm>
                    <a:off x="0" y="0"/>
                    <a:ext cx="2484000"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25BB0" w14:textId="77777777" w:rsidR="00011C0B" w:rsidRDefault="00011C0B" w:rsidP="00E71E71">
      <w:pPr>
        <w:spacing w:line="240" w:lineRule="auto"/>
      </w:pPr>
    </w:p>
    <w:p w14:paraId="24C46361" w14:textId="77777777" w:rsidR="00011C0B" w:rsidRDefault="00011C0B" w:rsidP="00E71E71">
      <w:pPr>
        <w:spacing w:line="240" w:lineRule="auto"/>
      </w:pPr>
      <w:r>
        <w:t>–––––––</w:t>
      </w:r>
    </w:p>
  </w:footnote>
  <w:footnote w:type="continuationSeparator" w:id="0">
    <w:p w14:paraId="38D0330C" w14:textId="77777777" w:rsidR="00011C0B" w:rsidRDefault="00011C0B" w:rsidP="00E71E71">
      <w:pPr>
        <w:spacing w:line="240" w:lineRule="auto"/>
      </w:pPr>
      <w:r>
        <w:continuationSeparator/>
      </w:r>
    </w:p>
  </w:footnote>
  <w:footnote w:type="continuationNotice" w:id="1">
    <w:p w14:paraId="79DF128F" w14:textId="77777777" w:rsidR="00011C0B" w:rsidRDefault="00011C0B">
      <w:pPr>
        <w:spacing w:line="240" w:lineRule="auto"/>
      </w:pPr>
    </w:p>
  </w:footnote>
  <w:footnote w:id="2">
    <w:p w14:paraId="41521EE4" w14:textId="3940DB7B" w:rsidR="00655EE5" w:rsidRDefault="00655EE5" w:rsidP="00655EE5">
      <w:pPr>
        <w:pStyle w:val="Voetnoottekst"/>
      </w:pPr>
      <w:r>
        <w:rPr>
          <w:rStyle w:val="Voetnootmarkering"/>
        </w:rPr>
        <w:footnoteRef/>
      </w:r>
      <w:r>
        <w:t xml:space="preserve"> Zorgorganisaties die in meerdere deelsectoren actief zijn, worden tot de </w:t>
      </w:r>
      <w:r w:rsidR="001C74E5">
        <w:t>GGZ</w:t>
      </w:r>
      <w:r>
        <w:t xml:space="preserve"> gerekend als de gesegmenteerde omzet in het segment </w:t>
      </w:r>
      <w:r w:rsidR="001C74E5">
        <w:t>GGZ</w:t>
      </w:r>
      <w:r>
        <w:t xml:space="preserve"> het grootst is.</w:t>
      </w:r>
    </w:p>
  </w:footnote>
  <w:footnote w:id="3">
    <w:p w14:paraId="760F55C6" w14:textId="2EE26355" w:rsidR="005E76BE" w:rsidRDefault="005E76BE" w:rsidP="005E76BE">
      <w:pPr>
        <w:pStyle w:val="Voetnoottekst"/>
      </w:pPr>
      <w:r>
        <w:rPr>
          <w:rStyle w:val="Voetnootmarkering"/>
        </w:rPr>
        <w:footnoteRef/>
      </w:r>
      <w:r>
        <w:t xml:space="preserve"> </w:t>
      </w:r>
      <w:r w:rsidR="003C3525">
        <w:t>Weerstandsvermogen</w:t>
      </w:r>
      <w:r>
        <w:t>: het eigen vermogen uitgedrukt als percentage van de totale bedrijfsopbrengsten.</w:t>
      </w:r>
    </w:p>
  </w:footnote>
  <w:footnote w:id="4">
    <w:p w14:paraId="455A7D8C" w14:textId="77777777" w:rsidR="005E76BE" w:rsidRDefault="005E76BE" w:rsidP="005E76BE">
      <w:pPr>
        <w:pStyle w:val="Voetnoottekst"/>
      </w:pPr>
      <w:r>
        <w:rPr>
          <w:rStyle w:val="Voetnootmarkering"/>
        </w:rPr>
        <w:footnoteRef/>
      </w:r>
      <w:r>
        <w:t xml:space="preserve"> Balansratio: het eigen vermogen gedeeld door het balanstotaal.</w:t>
      </w:r>
    </w:p>
  </w:footnote>
  <w:footnote w:id="5">
    <w:p w14:paraId="43A580B0" w14:textId="3A417A44" w:rsidR="003C3525" w:rsidRDefault="003C3525" w:rsidP="00AA0C09">
      <w:pPr>
        <w:pStyle w:val="Voetnoottekst"/>
        <w:ind w:left="0" w:firstLine="0"/>
      </w:pPr>
    </w:p>
  </w:footnote>
  <w:footnote w:id="6">
    <w:p w14:paraId="6C081512" w14:textId="77777777" w:rsidR="00EA4E9D" w:rsidRDefault="00EA4E9D" w:rsidP="00EA4E9D">
      <w:pPr>
        <w:pStyle w:val="Voetnoottekst"/>
      </w:pPr>
      <w:r>
        <w:rPr>
          <w:rStyle w:val="Voetnootmarkering"/>
        </w:rPr>
        <w:footnoteRef/>
      </w:r>
      <w:r>
        <w:t xml:space="preserve"> Inkoopratio: inkoopgerelateerde exploitatiekosten / som der bedrijfslaten.</w:t>
      </w:r>
    </w:p>
  </w:footnote>
  <w:footnote w:id="7">
    <w:p w14:paraId="651FC094" w14:textId="0CA2A9B6" w:rsidR="00FC1EDF" w:rsidRDefault="00FC1EDF">
      <w:pPr>
        <w:pStyle w:val="Voetnoottekst"/>
      </w:pPr>
      <w:r>
        <w:rPr>
          <w:rStyle w:val="Voetnootmarkering"/>
        </w:rPr>
        <w:footnoteRef/>
      </w:r>
      <w:r>
        <w:t xml:space="preserve"> </w:t>
      </w:r>
      <w:r w:rsidR="008C3D43" w:rsidRPr="008C3D43">
        <w:t xml:space="preserve">  PNIL-ratio: Kosten personeel niet in loondienst / totale personeelslasten.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9484" w14:textId="745CFF0B" w:rsidR="001706E6" w:rsidRDefault="001706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licht"/>
      <w:tblpPr w:vertAnchor="page" w:horzAnchor="page" w:tblpX="681" w:tblpY="1135"/>
      <w:tblOverlap w:val="never"/>
      <w:tblW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tblGrid>
    <w:tr w:rsidR="001706E6" w:rsidRPr="009A0416" w14:paraId="118B7269" w14:textId="77777777" w:rsidTr="009A0416">
      <w:trPr>
        <w:cantSplit/>
        <w:trHeight w:hRule="exact" w:val="340"/>
      </w:trPr>
      <w:tc>
        <w:tcPr>
          <w:tcW w:w="1134" w:type="dxa"/>
        </w:tcPr>
        <w:p w14:paraId="7F022D29" w14:textId="28F33C4B" w:rsidR="001706E6" w:rsidRPr="009A0416" w:rsidRDefault="001706E6" w:rsidP="009A0416">
          <w:pPr>
            <w:pStyle w:val="13Paginanummer"/>
            <w:rPr>
              <w:b w:val="0"/>
            </w:rPr>
          </w:pPr>
          <w:r w:rsidRPr="009A0416">
            <w:rPr>
              <w:b w:val="0"/>
            </w:rPr>
            <w:fldChar w:fldCharType="begin"/>
          </w:r>
          <w:r w:rsidRPr="009A0416">
            <w:rPr>
              <w:b w:val="0"/>
            </w:rPr>
            <w:instrText xml:space="preserve"> PAGE  \* MERGEFORMAT </w:instrText>
          </w:r>
          <w:r w:rsidRPr="009A0416">
            <w:rPr>
              <w:b w:val="0"/>
            </w:rPr>
            <w:fldChar w:fldCharType="separate"/>
          </w:r>
          <w:r w:rsidR="00313B41" w:rsidRPr="00313B41">
            <w:rPr>
              <w:noProof/>
            </w:rPr>
            <w:t>3</w:t>
          </w:r>
          <w:r w:rsidRPr="009A0416">
            <w:rPr>
              <w:b w:val="0"/>
            </w:rPr>
            <w:fldChar w:fldCharType="end"/>
          </w:r>
          <w:r w:rsidRPr="009A0416">
            <w:rPr>
              <w:b w:val="0"/>
            </w:rPr>
            <w:t>/</w:t>
          </w:r>
          <w:r w:rsidRPr="009A0416">
            <w:rPr>
              <w:b w:val="0"/>
            </w:rPr>
            <w:fldChar w:fldCharType="begin"/>
          </w:r>
          <w:r w:rsidRPr="009A0416">
            <w:rPr>
              <w:b w:val="0"/>
            </w:rPr>
            <w:instrText xml:space="preserve"> NUMPAGES  \* MERGEFORMAT </w:instrText>
          </w:r>
          <w:r w:rsidRPr="009A0416">
            <w:rPr>
              <w:b w:val="0"/>
            </w:rPr>
            <w:fldChar w:fldCharType="separate"/>
          </w:r>
          <w:r w:rsidR="00313B41" w:rsidRPr="00313B41">
            <w:rPr>
              <w:noProof/>
            </w:rPr>
            <w:t>16</w:t>
          </w:r>
          <w:r w:rsidRPr="009A0416">
            <w:rPr>
              <w:b w:val="0"/>
            </w:rPr>
            <w:fldChar w:fldCharType="end"/>
          </w:r>
        </w:p>
      </w:tc>
    </w:tr>
  </w:tbl>
  <w:p w14:paraId="2DB0EB01" w14:textId="2EB14468" w:rsidR="001706E6" w:rsidRDefault="001706E6">
    <w:pPr>
      <w:pStyle w:val="Koptekst"/>
    </w:pPr>
    <w:r>
      <w:rPr>
        <w:noProof/>
        <w:lang w:eastAsia="nl-NL"/>
      </w:rPr>
      <w:drawing>
        <wp:anchor distT="0" distB="0" distL="114300" distR="114300" simplePos="0" relativeHeight="251658243" behindDoc="1" locked="0" layoutInCell="1" allowOverlap="1" wp14:anchorId="48165E90" wp14:editId="1D3689AA">
          <wp:simplePos x="0" y="0"/>
          <wp:positionH relativeFrom="page">
            <wp:posOffset>0</wp:posOffset>
          </wp:positionH>
          <wp:positionV relativeFrom="page">
            <wp:posOffset>0</wp:posOffset>
          </wp:positionV>
          <wp:extent cx="468000" cy="4680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rakoop_Streep_300.png"/>
                  <pic:cNvPicPr/>
                </pic:nvPicPr>
                <pic:blipFill>
                  <a:blip r:embed="rId1">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FFFD" w14:textId="3AC6B6BB" w:rsidR="001706E6" w:rsidRDefault="001706E6">
    <w:pPr>
      <w:pStyle w:val="Koptekst"/>
    </w:pPr>
    <w:r>
      <w:rPr>
        <w:noProof/>
        <w:lang w:eastAsia="nl-NL"/>
      </w:rPr>
      <w:drawing>
        <wp:anchor distT="0" distB="0" distL="114300" distR="114300" simplePos="0" relativeHeight="251658240" behindDoc="1" locked="0" layoutInCell="1" allowOverlap="1" wp14:anchorId="7F452A34" wp14:editId="1B711A6F">
          <wp:simplePos x="0" y="0"/>
          <wp:positionH relativeFrom="page">
            <wp:posOffset>0</wp:posOffset>
          </wp:positionH>
          <wp:positionV relativeFrom="page">
            <wp:posOffset>0</wp:posOffset>
          </wp:positionV>
          <wp:extent cx="468000" cy="4680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rakoop_Streep_300.png"/>
                  <pic:cNvPicPr/>
                </pic:nvPicPr>
                <pic:blipFill>
                  <a:blip r:embed="rId1">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90D0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02E76"/>
    <w:multiLevelType w:val="hybridMultilevel"/>
    <w:tmpl w:val="37B45352"/>
    <w:lvl w:ilvl="0" w:tplc="0FC8B93E">
      <w:start w:val="1"/>
      <w:numFmt w:val="bullet"/>
      <w:pStyle w:val="08OpsommingN2Streep"/>
      <w:lvlText w:val="–"/>
      <w:lvlJc w:val="left"/>
      <w:pPr>
        <w:tabs>
          <w:tab w:val="num" w:pos="567"/>
        </w:tabs>
        <w:ind w:left="567" w:hanging="28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735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EB01FE"/>
    <w:multiLevelType w:val="multilevel"/>
    <w:tmpl w:val="4D32C9D0"/>
    <w:lvl w:ilvl="0">
      <w:start w:val="1"/>
      <w:numFmt w:val="decimal"/>
      <w:lvlText w:val="%1."/>
      <w:lvlJc w:val="left"/>
      <w:pPr>
        <w:tabs>
          <w:tab w:val="num" w:pos="1134"/>
        </w:tabs>
        <w:ind w:left="1134"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4" w15:restartNumberingAfterBreak="0">
    <w:nsid w:val="1EBD75F4"/>
    <w:multiLevelType w:val="hybridMultilevel"/>
    <w:tmpl w:val="46FA35C6"/>
    <w:lvl w:ilvl="0" w:tplc="5D6ECF2C">
      <w:start w:val="1"/>
      <w:numFmt w:val="bullet"/>
      <w:pStyle w:val="07OpsommingN1Bullet"/>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A76147"/>
    <w:multiLevelType w:val="multilevel"/>
    <w:tmpl w:val="D434586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B935AD5"/>
    <w:multiLevelType w:val="multilevel"/>
    <w:tmpl w:val="A7CCB39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A770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439125E"/>
    <w:multiLevelType w:val="hybridMultilevel"/>
    <w:tmpl w:val="19FAF26A"/>
    <w:lvl w:ilvl="0" w:tplc="7B3AFCC0">
      <w:start w:val="1"/>
      <w:numFmt w:val="lowerLetter"/>
      <w:pStyle w:val="08NummeringN2Letter"/>
      <w:lvlText w:val="%1."/>
      <w:lvlJc w:val="left"/>
      <w:pPr>
        <w:tabs>
          <w:tab w:val="num" w:pos="1134"/>
        </w:tabs>
        <w:ind w:left="1134"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573A9F"/>
    <w:multiLevelType w:val="multilevel"/>
    <w:tmpl w:val="D062ED2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8CA7DC9"/>
    <w:multiLevelType w:val="hybridMultilevel"/>
    <w:tmpl w:val="DD50EED6"/>
    <w:lvl w:ilvl="0" w:tplc="91C221A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EA5C8B"/>
    <w:multiLevelType w:val="hybridMultilevel"/>
    <w:tmpl w:val="8BF829C2"/>
    <w:lvl w:ilvl="0" w:tplc="1840D43C">
      <w:start w:val="1"/>
      <w:numFmt w:val="decimal"/>
      <w:pStyle w:val="07NummeringN1Cijfer"/>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3B2E07"/>
    <w:multiLevelType w:val="multilevel"/>
    <w:tmpl w:val="AC46A16C"/>
    <w:lvl w:ilvl="0">
      <w:start w:val="1"/>
      <w:numFmt w:val="decimal"/>
      <w:pStyle w:val="01HoofdstukTitel"/>
      <w:lvlText w:val="%1."/>
      <w:lvlJc w:val="left"/>
      <w:pPr>
        <w:tabs>
          <w:tab w:val="num" w:pos="2693"/>
        </w:tabs>
        <w:ind w:left="2693" w:hanging="567"/>
      </w:pPr>
      <w:rPr>
        <w:rFonts w:hint="default"/>
      </w:rPr>
    </w:lvl>
    <w:lvl w:ilvl="1">
      <w:start w:val="1"/>
      <w:numFmt w:val="decimal"/>
      <w:pStyle w:val="02Paragraafkop"/>
      <w:lvlText w:val="%1.%2"/>
      <w:lvlJc w:val="left"/>
      <w:pPr>
        <w:tabs>
          <w:tab w:val="num" w:pos="567"/>
        </w:tabs>
        <w:ind w:left="567" w:hanging="567"/>
      </w:pPr>
      <w:rPr>
        <w:rFonts w:hint="default"/>
      </w:rPr>
    </w:lvl>
    <w:lvl w:ilvl="2">
      <w:start w:val="1"/>
      <w:numFmt w:val="decimal"/>
      <w:pStyle w:val="03Alineakop"/>
      <w:lvlText w:val="%1.%2.%3"/>
      <w:lvlJc w:val="left"/>
      <w:pPr>
        <w:tabs>
          <w:tab w:val="num" w:pos="567"/>
        </w:tabs>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4202DC6"/>
    <w:multiLevelType w:val="multilevel"/>
    <w:tmpl w:val="46FA35C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CAA68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44858340">
    <w:abstractNumId w:val="10"/>
  </w:num>
  <w:num w:numId="2" w16cid:durableId="1452942199">
    <w:abstractNumId w:val="4"/>
  </w:num>
  <w:num w:numId="3" w16cid:durableId="292564548">
    <w:abstractNumId w:val="1"/>
  </w:num>
  <w:num w:numId="4" w16cid:durableId="730348825">
    <w:abstractNumId w:val="11"/>
  </w:num>
  <w:num w:numId="5" w16cid:durableId="1592278577">
    <w:abstractNumId w:val="8"/>
  </w:num>
  <w:num w:numId="6" w16cid:durableId="80218960">
    <w:abstractNumId w:val="0"/>
  </w:num>
  <w:num w:numId="7" w16cid:durableId="141964950">
    <w:abstractNumId w:val="2"/>
  </w:num>
  <w:num w:numId="8" w16cid:durableId="2077586456">
    <w:abstractNumId w:val="12"/>
  </w:num>
  <w:num w:numId="9" w16cid:durableId="1524126446">
    <w:abstractNumId w:val="9"/>
  </w:num>
  <w:num w:numId="10" w16cid:durableId="1507596133">
    <w:abstractNumId w:val="3"/>
  </w:num>
  <w:num w:numId="11" w16cid:durableId="1947885529">
    <w:abstractNumId w:val="7"/>
  </w:num>
  <w:num w:numId="12" w16cid:durableId="1260063809">
    <w:abstractNumId w:val="6"/>
  </w:num>
  <w:num w:numId="13" w16cid:durableId="1182859992">
    <w:abstractNumId w:val="14"/>
  </w:num>
  <w:num w:numId="14" w16cid:durableId="464154104">
    <w:abstractNumId w:val="13"/>
  </w:num>
  <w:num w:numId="15" w16cid:durableId="1956715552">
    <w:abstractNumId w:val="12"/>
  </w:num>
  <w:num w:numId="16" w16cid:durableId="1988196339">
    <w:abstractNumId w:val="5"/>
  </w:num>
  <w:num w:numId="17" w16cid:durableId="471483435">
    <w:abstractNumId w:val="12"/>
  </w:num>
  <w:num w:numId="18" w16cid:durableId="1570266732">
    <w:abstractNumId w:val="12"/>
  </w:num>
  <w:num w:numId="19" w16cid:durableId="11559532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9DC"/>
    <w:rsid w:val="00000D39"/>
    <w:rsid w:val="00001066"/>
    <w:rsid w:val="00001334"/>
    <w:rsid w:val="00001619"/>
    <w:rsid w:val="00001BC7"/>
    <w:rsid w:val="00002469"/>
    <w:rsid w:val="00002F8B"/>
    <w:rsid w:val="00003711"/>
    <w:rsid w:val="00003A26"/>
    <w:rsid w:val="00003B48"/>
    <w:rsid w:val="00003DEF"/>
    <w:rsid w:val="00006051"/>
    <w:rsid w:val="00006B59"/>
    <w:rsid w:val="000106EA"/>
    <w:rsid w:val="00010CCE"/>
    <w:rsid w:val="0001143E"/>
    <w:rsid w:val="00011969"/>
    <w:rsid w:val="00011A00"/>
    <w:rsid w:val="00011C0B"/>
    <w:rsid w:val="000136CC"/>
    <w:rsid w:val="00013EC8"/>
    <w:rsid w:val="0001450B"/>
    <w:rsid w:val="00014649"/>
    <w:rsid w:val="0001476C"/>
    <w:rsid w:val="0001490B"/>
    <w:rsid w:val="0001495B"/>
    <w:rsid w:val="000149F5"/>
    <w:rsid w:val="00014B84"/>
    <w:rsid w:val="00016C9F"/>
    <w:rsid w:val="00016E84"/>
    <w:rsid w:val="0001729A"/>
    <w:rsid w:val="00017538"/>
    <w:rsid w:val="00020119"/>
    <w:rsid w:val="000208A6"/>
    <w:rsid w:val="00021D88"/>
    <w:rsid w:val="00022434"/>
    <w:rsid w:val="00024E02"/>
    <w:rsid w:val="00024E36"/>
    <w:rsid w:val="000259D9"/>
    <w:rsid w:val="00026387"/>
    <w:rsid w:val="00027966"/>
    <w:rsid w:val="00030D0E"/>
    <w:rsid w:val="00031402"/>
    <w:rsid w:val="0003283E"/>
    <w:rsid w:val="00033D1C"/>
    <w:rsid w:val="00034C8E"/>
    <w:rsid w:val="000404EE"/>
    <w:rsid w:val="000407C5"/>
    <w:rsid w:val="00040BFA"/>
    <w:rsid w:val="00043A83"/>
    <w:rsid w:val="00043C67"/>
    <w:rsid w:val="00044610"/>
    <w:rsid w:val="000451E7"/>
    <w:rsid w:val="000453B3"/>
    <w:rsid w:val="000456C1"/>
    <w:rsid w:val="000456F6"/>
    <w:rsid w:val="0004580A"/>
    <w:rsid w:val="000458B3"/>
    <w:rsid w:val="00045AA8"/>
    <w:rsid w:val="00045B31"/>
    <w:rsid w:val="00045D8F"/>
    <w:rsid w:val="0004651C"/>
    <w:rsid w:val="0004770C"/>
    <w:rsid w:val="000505D8"/>
    <w:rsid w:val="00052EED"/>
    <w:rsid w:val="0005353C"/>
    <w:rsid w:val="00053C60"/>
    <w:rsid w:val="000548F0"/>
    <w:rsid w:val="0005561D"/>
    <w:rsid w:val="000558EA"/>
    <w:rsid w:val="00055E85"/>
    <w:rsid w:val="0005711F"/>
    <w:rsid w:val="00057658"/>
    <w:rsid w:val="00061775"/>
    <w:rsid w:val="00063084"/>
    <w:rsid w:val="000633C8"/>
    <w:rsid w:val="000636BC"/>
    <w:rsid w:val="00063AA0"/>
    <w:rsid w:val="00064615"/>
    <w:rsid w:val="00065232"/>
    <w:rsid w:val="00065926"/>
    <w:rsid w:val="00065F21"/>
    <w:rsid w:val="00066442"/>
    <w:rsid w:val="00066A9F"/>
    <w:rsid w:val="00067B6A"/>
    <w:rsid w:val="00070FF0"/>
    <w:rsid w:val="00071C83"/>
    <w:rsid w:val="00072554"/>
    <w:rsid w:val="00072CAE"/>
    <w:rsid w:val="0007358D"/>
    <w:rsid w:val="00074756"/>
    <w:rsid w:val="00074955"/>
    <w:rsid w:val="00074B0E"/>
    <w:rsid w:val="00075D3A"/>
    <w:rsid w:val="00076C7F"/>
    <w:rsid w:val="00077A13"/>
    <w:rsid w:val="00080981"/>
    <w:rsid w:val="00080B7A"/>
    <w:rsid w:val="00081D4A"/>
    <w:rsid w:val="0008238F"/>
    <w:rsid w:val="000829A5"/>
    <w:rsid w:val="00082C95"/>
    <w:rsid w:val="00083215"/>
    <w:rsid w:val="00083460"/>
    <w:rsid w:val="00083AF3"/>
    <w:rsid w:val="00083DEC"/>
    <w:rsid w:val="00084A67"/>
    <w:rsid w:val="00087EC6"/>
    <w:rsid w:val="0009130D"/>
    <w:rsid w:val="00092234"/>
    <w:rsid w:val="00093D7B"/>
    <w:rsid w:val="00094475"/>
    <w:rsid w:val="00094D47"/>
    <w:rsid w:val="0009657C"/>
    <w:rsid w:val="00096C41"/>
    <w:rsid w:val="00096E37"/>
    <w:rsid w:val="000977A5"/>
    <w:rsid w:val="000978FC"/>
    <w:rsid w:val="00097FE7"/>
    <w:rsid w:val="000A09BC"/>
    <w:rsid w:val="000A0B02"/>
    <w:rsid w:val="000A17A9"/>
    <w:rsid w:val="000A17DB"/>
    <w:rsid w:val="000A253C"/>
    <w:rsid w:val="000A4369"/>
    <w:rsid w:val="000A51FE"/>
    <w:rsid w:val="000A54E1"/>
    <w:rsid w:val="000A55B4"/>
    <w:rsid w:val="000A61BB"/>
    <w:rsid w:val="000A6C69"/>
    <w:rsid w:val="000A7830"/>
    <w:rsid w:val="000B06E3"/>
    <w:rsid w:val="000B2946"/>
    <w:rsid w:val="000B31DB"/>
    <w:rsid w:val="000B4074"/>
    <w:rsid w:val="000B40C1"/>
    <w:rsid w:val="000B501C"/>
    <w:rsid w:val="000B5B8A"/>
    <w:rsid w:val="000B60BF"/>
    <w:rsid w:val="000B63B9"/>
    <w:rsid w:val="000B7322"/>
    <w:rsid w:val="000B74E5"/>
    <w:rsid w:val="000B7BD2"/>
    <w:rsid w:val="000C02D2"/>
    <w:rsid w:val="000C0B3F"/>
    <w:rsid w:val="000C0E26"/>
    <w:rsid w:val="000C1175"/>
    <w:rsid w:val="000C1DC4"/>
    <w:rsid w:val="000C2EB0"/>
    <w:rsid w:val="000C2F85"/>
    <w:rsid w:val="000C3259"/>
    <w:rsid w:val="000C448A"/>
    <w:rsid w:val="000C4914"/>
    <w:rsid w:val="000C56C5"/>
    <w:rsid w:val="000C599A"/>
    <w:rsid w:val="000C634A"/>
    <w:rsid w:val="000C7125"/>
    <w:rsid w:val="000C72F4"/>
    <w:rsid w:val="000C7E2D"/>
    <w:rsid w:val="000D0C5B"/>
    <w:rsid w:val="000D1286"/>
    <w:rsid w:val="000D14D4"/>
    <w:rsid w:val="000D2599"/>
    <w:rsid w:val="000D2854"/>
    <w:rsid w:val="000D5721"/>
    <w:rsid w:val="000D6475"/>
    <w:rsid w:val="000D65D1"/>
    <w:rsid w:val="000D7111"/>
    <w:rsid w:val="000D7408"/>
    <w:rsid w:val="000E081D"/>
    <w:rsid w:val="000E0BF7"/>
    <w:rsid w:val="000E2179"/>
    <w:rsid w:val="000E2FEE"/>
    <w:rsid w:val="000E34A5"/>
    <w:rsid w:val="000E45B8"/>
    <w:rsid w:val="000E4FF3"/>
    <w:rsid w:val="000E6596"/>
    <w:rsid w:val="000E6616"/>
    <w:rsid w:val="000E6896"/>
    <w:rsid w:val="000E68EE"/>
    <w:rsid w:val="000E6A62"/>
    <w:rsid w:val="000F220E"/>
    <w:rsid w:val="000F2983"/>
    <w:rsid w:val="000F35CE"/>
    <w:rsid w:val="000F49E2"/>
    <w:rsid w:val="000F4B70"/>
    <w:rsid w:val="000F5329"/>
    <w:rsid w:val="000F55F3"/>
    <w:rsid w:val="000F5EFA"/>
    <w:rsid w:val="000F5F10"/>
    <w:rsid w:val="000F6423"/>
    <w:rsid w:val="000F7BD4"/>
    <w:rsid w:val="00101769"/>
    <w:rsid w:val="001018A2"/>
    <w:rsid w:val="0010228D"/>
    <w:rsid w:val="0010307C"/>
    <w:rsid w:val="00105244"/>
    <w:rsid w:val="00105805"/>
    <w:rsid w:val="00105817"/>
    <w:rsid w:val="00105861"/>
    <w:rsid w:val="00105E3E"/>
    <w:rsid w:val="001108D3"/>
    <w:rsid w:val="0011283F"/>
    <w:rsid w:val="00114F48"/>
    <w:rsid w:val="00120807"/>
    <w:rsid w:val="00121051"/>
    <w:rsid w:val="00122B56"/>
    <w:rsid w:val="00123306"/>
    <w:rsid w:val="001245AC"/>
    <w:rsid w:val="001255FD"/>
    <w:rsid w:val="001259AE"/>
    <w:rsid w:val="00126665"/>
    <w:rsid w:val="0013092F"/>
    <w:rsid w:val="00130D2E"/>
    <w:rsid w:val="00131F1F"/>
    <w:rsid w:val="00133485"/>
    <w:rsid w:val="00133678"/>
    <w:rsid w:val="00133C5A"/>
    <w:rsid w:val="00133EF4"/>
    <w:rsid w:val="00134EE2"/>
    <w:rsid w:val="0013550C"/>
    <w:rsid w:val="00135952"/>
    <w:rsid w:val="00135BF9"/>
    <w:rsid w:val="00136979"/>
    <w:rsid w:val="001369EA"/>
    <w:rsid w:val="00141230"/>
    <w:rsid w:val="001431A7"/>
    <w:rsid w:val="00144BAD"/>
    <w:rsid w:val="00146F72"/>
    <w:rsid w:val="001518DF"/>
    <w:rsid w:val="00152647"/>
    <w:rsid w:val="00153F4A"/>
    <w:rsid w:val="00155BA0"/>
    <w:rsid w:val="001565D9"/>
    <w:rsid w:val="00157CF8"/>
    <w:rsid w:val="00157D4D"/>
    <w:rsid w:val="00160568"/>
    <w:rsid w:val="0016169C"/>
    <w:rsid w:val="0016246E"/>
    <w:rsid w:val="00162491"/>
    <w:rsid w:val="00162BA0"/>
    <w:rsid w:val="00162DB6"/>
    <w:rsid w:val="001631A0"/>
    <w:rsid w:val="00163978"/>
    <w:rsid w:val="001665B4"/>
    <w:rsid w:val="001666C0"/>
    <w:rsid w:val="001671A3"/>
    <w:rsid w:val="001706E6"/>
    <w:rsid w:val="001720DA"/>
    <w:rsid w:val="00172703"/>
    <w:rsid w:val="001727E3"/>
    <w:rsid w:val="001741E2"/>
    <w:rsid w:val="001748CB"/>
    <w:rsid w:val="00174C09"/>
    <w:rsid w:val="0017521B"/>
    <w:rsid w:val="00175EA9"/>
    <w:rsid w:val="001766C6"/>
    <w:rsid w:val="001766C9"/>
    <w:rsid w:val="00176B4B"/>
    <w:rsid w:val="00177342"/>
    <w:rsid w:val="00180646"/>
    <w:rsid w:val="001806B2"/>
    <w:rsid w:val="001808A7"/>
    <w:rsid w:val="00181F57"/>
    <w:rsid w:val="0018380A"/>
    <w:rsid w:val="00184147"/>
    <w:rsid w:val="00184F72"/>
    <w:rsid w:val="0018703C"/>
    <w:rsid w:val="00187166"/>
    <w:rsid w:val="00187171"/>
    <w:rsid w:val="00187A18"/>
    <w:rsid w:val="00193456"/>
    <w:rsid w:val="00193E62"/>
    <w:rsid w:val="00194FE1"/>
    <w:rsid w:val="00195338"/>
    <w:rsid w:val="00195CA5"/>
    <w:rsid w:val="00196515"/>
    <w:rsid w:val="001970DE"/>
    <w:rsid w:val="00197B3A"/>
    <w:rsid w:val="001A20B7"/>
    <w:rsid w:val="001A246C"/>
    <w:rsid w:val="001A478A"/>
    <w:rsid w:val="001A5662"/>
    <w:rsid w:val="001A5D1F"/>
    <w:rsid w:val="001A6EEF"/>
    <w:rsid w:val="001A7DE6"/>
    <w:rsid w:val="001B039F"/>
    <w:rsid w:val="001B1B82"/>
    <w:rsid w:val="001B322A"/>
    <w:rsid w:val="001B5BCC"/>
    <w:rsid w:val="001B6CB1"/>
    <w:rsid w:val="001B7147"/>
    <w:rsid w:val="001C2412"/>
    <w:rsid w:val="001C28AE"/>
    <w:rsid w:val="001C30B3"/>
    <w:rsid w:val="001C4BE5"/>
    <w:rsid w:val="001C728F"/>
    <w:rsid w:val="001C74E5"/>
    <w:rsid w:val="001D0D75"/>
    <w:rsid w:val="001D1839"/>
    <w:rsid w:val="001D48B0"/>
    <w:rsid w:val="001D5AEE"/>
    <w:rsid w:val="001D6015"/>
    <w:rsid w:val="001D72D6"/>
    <w:rsid w:val="001E1205"/>
    <w:rsid w:val="001E1F69"/>
    <w:rsid w:val="001E23D3"/>
    <w:rsid w:val="001E2834"/>
    <w:rsid w:val="001E4230"/>
    <w:rsid w:val="001E5080"/>
    <w:rsid w:val="001F4547"/>
    <w:rsid w:val="001F552A"/>
    <w:rsid w:val="001F6023"/>
    <w:rsid w:val="001F617D"/>
    <w:rsid w:val="001F70DA"/>
    <w:rsid w:val="001F7298"/>
    <w:rsid w:val="001F7E3F"/>
    <w:rsid w:val="002005E7"/>
    <w:rsid w:val="00201D41"/>
    <w:rsid w:val="00202C1C"/>
    <w:rsid w:val="00202FF8"/>
    <w:rsid w:val="00203390"/>
    <w:rsid w:val="00203BF2"/>
    <w:rsid w:val="002061ED"/>
    <w:rsid w:val="002100B5"/>
    <w:rsid w:val="00210FD1"/>
    <w:rsid w:val="0021256E"/>
    <w:rsid w:val="00212AF5"/>
    <w:rsid w:val="002137AB"/>
    <w:rsid w:val="002142D2"/>
    <w:rsid w:val="0021503C"/>
    <w:rsid w:val="00215A64"/>
    <w:rsid w:val="002161BB"/>
    <w:rsid w:val="002161C4"/>
    <w:rsid w:val="00220E52"/>
    <w:rsid w:val="002210E6"/>
    <w:rsid w:val="002232C7"/>
    <w:rsid w:val="002233A9"/>
    <w:rsid w:val="0023002A"/>
    <w:rsid w:val="00230B98"/>
    <w:rsid w:val="00233782"/>
    <w:rsid w:val="00233BAC"/>
    <w:rsid w:val="00234A70"/>
    <w:rsid w:val="00235021"/>
    <w:rsid w:val="00235174"/>
    <w:rsid w:val="002352EB"/>
    <w:rsid w:val="00236882"/>
    <w:rsid w:val="00237DA2"/>
    <w:rsid w:val="00240A16"/>
    <w:rsid w:val="00240A39"/>
    <w:rsid w:val="0024137E"/>
    <w:rsid w:val="002421CB"/>
    <w:rsid w:val="00242735"/>
    <w:rsid w:val="00243081"/>
    <w:rsid w:val="002438BE"/>
    <w:rsid w:val="00243CC5"/>
    <w:rsid w:val="00244395"/>
    <w:rsid w:val="00246428"/>
    <w:rsid w:val="0025085F"/>
    <w:rsid w:val="00250CC4"/>
    <w:rsid w:val="00251157"/>
    <w:rsid w:val="00252047"/>
    <w:rsid w:val="0025254E"/>
    <w:rsid w:val="00252CC1"/>
    <w:rsid w:val="00252F52"/>
    <w:rsid w:val="00253AA5"/>
    <w:rsid w:val="00254633"/>
    <w:rsid w:val="00254EC6"/>
    <w:rsid w:val="00255016"/>
    <w:rsid w:val="0025575C"/>
    <w:rsid w:val="002557BB"/>
    <w:rsid w:val="00255EF1"/>
    <w:rsid w:val="002563DF"/>
    <w:rsid w:val="0026003D"/>
    <w:rsid w:val="0026061B"/>
    <w:rsid w:val="00260667"/>
    <w:rsid w:val="00260845"/>
    <w:rsid w:val="00260A74"/>
    <w:rsid w:val="002612AC"/>
    <w:rsid w:val="00261C1C"/>
    <w:rsid w:val="00262919"/>
    <w:rsid w:val="00265ED5"/>
    <w:rsid w:val="00266287"/>
    <w:rsid w:val="002671A0"/>
    <w:rsid w:val="0026731F"/>
    <w:rsid w:val="00267DDC"/>
    <w:rsid w:val="00270B02"/>
    <w:rsid w:val="00270D43"/>
    <w:rsid w:val="00270E90"/>
    <w:rsid w:val="00271BD6"/>
    <w:rsid w:val="00272471"/>
    <w:rsid w:val="00272F7B"/>
    <w:rsid w:val="00273064"/>
    <w:rsid w:val="00274FA3"/>
    <w:rsid w:val="00275A46"/>
    <w:rsid w:val="0027683B"/>
    <w:rsid w:val="002807D0"/>
    <w:rsid w:val="00280E1F"/>
    <w:rsid w:val="002828FC"/>
    <w:rsid w:val="00283058"/>
    <w:rsid w:val="00283737"/>
    <w:rsid w:val="00284133"/>
    <w:rsid w:val="00284301"/>
    <w:rsid w:val="0028693F"/>
    <w:rsid w:val="00286F9C"/>
    <w:rsid w:val="002872D8"/>
    <w:rsid w:val="002878B0"/>
    <w:rsid w:val="002939A4"/>
    <w:rsid w:val="00293A6F"/>
    <w:rsid w:val="00296157"/>
    <w:rsid w:val="002A0A91"/>
    <w:rsid w:val="002A0AEB"/>
    <w:rsid w:val="002A1C6F"/>
    <w:rsid w:val="002A37F8"/>
    <w:rsid w:val="002A61A1"/>
    <w:rsid w:val="002A64C8"/>
    <w:rsid w:val="002A6709"/>
    <w:rsid w:val="002A6FC8"/>
    <w:rsid w:val="002B0F33"/>
    <w:rsid w:val="002B17EC"/>
    <w:rsid w:val="002B1ECB"/>
    <w:rsid w:val="002B2D6D"/>
    <w:rsid w:val="002B3D60"/>
    <w:rsid w:val="002B3F73"/>
    <w:rsid w:val="002B44C1"/>
    <w:rsid w:val="002B4F5B"/>
    <w:rsid w:val="002B6B10"/>
    <w:rsid w:val="002B71A1"/>
    <w:rsid w:val="002C07A9"/>
    <w:rsid w:val="002C11BE"/>
    <w:rsid w:val="002C14C3"/>
    <w:rsid w:val="002C1A01"/>
    <w:rsid w:val="002C1C1C"/>
    <w:rsid w:val="002C2716"/>
    <w:rsid w:val="002C3885"/>
    <w:rsid w:val="002C3EC2"/>
    <w:rsid w:val="002C4485"/>
    <w:rsid w:val="002C4C78"/>
    <w:rsid w:val="002C4EDD"/>
    <w:rsid w:val="002C5093"/>
    <w:rsid w:val="002C738A"/>
    <w:rsid w:val="002D0891"/>
    <w:rsid w:val="002D148B"/>
    <w:rsid w:val="002D1777"/>
    <w:rsid w:val="002D1C75"/>
    <w:rsid w:val="002D2318"/>
    <w:rsid w:val="002D2B62"/>
    <w:rsid w:val="002D3A82"/>
    <w:rsid w:val="002D5348"/>
    <w:rsid w:val="002D6340"/>
    <w:rsid w:val="002D685E"/>
    <w:rsid w:val="002D71AF"/>
    <w:rsid w:val="002D71C5"/>
    <w:rsid w:val="002E145B"/>
    <w:rsid w:val="002E1513"/>
    <w:rsid w:val="002E39BE"/>
    <w:rsid w:val="002E42B3"/>
    <w:rsid w:val="002E4ABA"/>
    <w:rsid w:val="002E5D17"/>
    <w:rsid w:val="002E6101"/>
    <w:rsid w:val="002F15B0"/>
    <w:rsid w:val="002F2088"/>
    <w:rsid w:val="002F23EA"/>
    <w:rsid w:val="002F321A"/>
    <w:rsid w:val="002F33B9"/>
    <w:rsid w:val="002F3B49"/>
    <w:rsid w:val="002F5C2F"/>
    <w:rsid w:val="002F69F7"/>
    <w:rsid w:val="003009AA"/>
    <w:rsid w:val="003049B1"/>
    <w:rsid w:val="0030534E"/>
    <w:rsid w:val="0030542D"/>
    <w:rsid w:val="003076EC"/>
    <w:rsid w:val="00307FDB"/>
    <w:rsid w:val="00310BF3"/>
    <w:rsid w:val="00310C09"/>
    <w:rsid w:val="003115F9"/>
    <w:rsid w:val="00312A7F"/>
    <w:rsid w:val="00313B41"/>
    <w:rsid w:val="00313B58"/>
    <w:rsid w:val="00315332"/>
    <w:rsid w:val="0031593F"/>
    <w:rsid w:val="00315B8C"/>
    <w:rsid w:val="00315F2D"/>
    <w:rsid w:val="00317C90"/>
    <w:rsid w:val="0032071D"/>
    <w:rsid w:val="0032199C"/>
    <w:rsid w:val="003219AC"/>
    <w:rsid w:val="003250D7"/>
    <w:rsid w:val="00325340"/>
    <w:rsid w:val="0032733E"/>
    <w:rsid w:val="003276AA"/>
    <w:rsid w:val="00327C5D"/>
    <w:rsid w:val="0033027D"/>
    <w:rsid w:val="003314F6"/>
    <w:rsid w:val="00332FBE"/>
    <w:rsid w:val="00333027"/>
    <w:rsid w:val="00333655"/>
    <w:rsid w:val="003338E8"/>
    <w:rsid w:val="00333966"/>
    <w:rsid w:val="00333CF3"/>
    <w:rsid w:val="003343CE"/>
    <w:rsid w:val="00335C6D"/>
    <w:rsid w:val="00335ED2"/>
    <w:rsid w:val="003375E6"/>
    <w:rsid w:val="003378C1"/>
    <w:rsid w:val="00337CD5"/>
    <w:rsid w:val="00340030"/>
    <w:rsid w:val="0034017E"/>
    <w:rsid w:val="00340935"/>
    <w:rsid w:val="00340937"/>
    <w:rsid w:val="0034197D"/>
    <w:rsid w:val="00341EE5"/>
    <w:rsid w:val="0034277A"/>
    <w:rsid w:val="003431A2"/>
    <w:rsid w:val="003443AA"/>
    <w:rsid w:val="00345710"/>
    <w:rsid w:val="003465D7"/>
    <w:rsid w:val="00351940"/>
    <w:rsid w:val="00352470"/>
    <w:rsid w:val="003527C0"/>
    <w:rsid w:val="00354A06"/>
    <w:rsid w:val="00355081"/>
    <w:rsid w:val="00355483"/>
    <w:rsid w:val="00355E4F"/>
    <w:rsid w:val="003573B3"/>
    <w:rsid w:val="00357A12"/>
    <w:rsid w:val="00357B9F"/>
    <w:rsid w:val="00357BCF"/>
    <w:rsid w:val="00360A6B"/>
    <w:rsid w:val="00361FF1"/>
    <w:rsid w:val="003637E7"/>
    <w:rsid w:val="00366B23"/>
    <w:rsid w:val="00367A95"/>
    <w:rsid w:val="00372019"/>
    <w:rsid w:val="003735E7"/>
    <w:rsid w:val="003753A9"/>
    <w:rsid w:val="00375729"/>
    <w:rsid w:val="003769FA"/>
    <w:rsid w:val="00377589"/>
    <w:rsid w:val="00377AEF"/>
    <w:rsid w:val="003802A1"/>
    <w:rsid w:val="0038066E"/>
    <w:rsid w:val="0038165F"/>
    <w:rsid w:val="00381BE2"/>
    <w:rsid w:val="00382C35"/>
    <w:rsid w:val="0038344E"/>
    <w:rsid w:val="003837A8"/>
    <w:rsid w:val="00383A3D"/>
    <w:rsid w:val="00383F5C"/>
    <w:rsid w:val="00384000"/>
    <w:rsid w:val="00384CBB"/>
    <w:rsid w:val="003850FF"/>
    <w:rsid w:val="00385FE1"/>
    <w:rsid w:val="00387C21"/>
    <w:rsid w:val="003904C4"/>
    <w:rsid w:val="00390E88"/>
    <w:rsid w:val="00391876"/>
    <w:rsid w:val="00391F19"/>
    <w:rsid w:val="00391F1E"/>
    <w:rsid w:val="00392B28"/>
    <w:rsid w:val="00393299"/>
    <w:rsid w:val="00393793"/>
    <w:rsid w:val="00393C5F"/>
    <w:rsid w:val="00397AC8"/>
    <w:rsid w:val="003A103A"/>
    <w:rsid w:val="003A229F"/>
    <w:rsid w:val="003A2C37"/>
    <w:rsid w:val="003A2C6A"/>
    <w:rsid w:val="003A4844"/>
    <w:rsid w:val="003B0916"/>
    <w:rsid w:val="003B31C7"/>
    <w:rsid w:val="003B4072"/>
    <w:rsid w:val="003B4922"/>
    <w:rsid w:val="003B516E"/>
    <w:rsid w:val="003B7C4F"/>
    <w:rsid w:val="003C0627"/>
    <w:rsid w:val="003C2539"/>
    <w:rsid w:val="003C3525"/>
    <w:rsid w:val="003C41BE"/>
    <w:rsid w:val="003C42EC"/>
    <w:rsid w:val="003C55D3"/>
    <w:rsid w:val="003C6CC1"/>
    <w:rsid w:val="003D0241"/>
    <w:rsid w:val="003D0F35"/>
    <w:rsid w:val="003D1762"/>
    <w:rsid w:val="003D2467"/>
    <w:rsid w:val="003D3C8B"/>
    <w:rsid w:val="003D3CBE"/>
    <w:rsid w:val="003D4A35"/>
    <w:rsid w:val="003D5B70"/>
    <w:rsid w:val="003D5E09"/>
    <w:rsid w:val="003E0204"/>
    <w:rsid w:val="003E0757"/>
    <w:rsid w:val="003E17AA"/>
    <w:rsid w:val="003E209E"/>
    <w:rsid w:val="003E289A"/>
    <w:rsid w:val="003E289D"/>
    <w:rsid w:val="003E31BE"/>
    <w:rsid w:val="003E3E6B"/>
    <w:rsid w:val="003E4817"/>
    <w:rsid w:val="003E62A5"/>
    <w:rsid w:val="003E6578"/>
    <w:rsid w:val="003E682E"/>
    <w:rsid w:val="003E6FCB"/>
    <w:rsid w:val="003E75BC"/>
    <w:rsid w:val="003E7609"/>
    <w:rsid w:val="003F0417"/>
    <w:rsid w:val="003F128D"/>
    <w:rsid w:val="003F1941"/>
    <w:rsid w:val="0040143C"/>
    <w:rsid w:val="00402F84"/>
    <w:rsid w:val="0040356B"/>
    <w:rsid w:val="00404094"/>
    <w:rsid w:val="004041BF"/>
    <w:rsid w:val="00404426"/>
    <w:rsid w:val="00405200"/>
    <w:rsid w:val="00406A3F"/>
    <w:rsid w:val="00406A6B"/>
    <w:rsid w:val="00406CD0"/>
    <w:rsid w:val="0040723A"/>
    <w:rsid w:val="004072D8"/>
    <w:rsid w:val="00407537"/>
    <w:rsid w:val="004127C8"/>
    <w:rsid w:val="00412A36"/>
    <w:rsid w:val="00414E6D"/>
    <w:rsid w:val="004160EB"/>
    <w:rsid w:val="0041650F"/>
    <w:rsid w:val="004169CE"/>
    <w:rsid w:val="00417C17"/>
    <w:rsid w:val="00420199"/>
    <w:rsid w:val="004201D4"/>
    <w:rsid w:val="004211A2"/>
    <w:rsid w:val="00421617"/>
    <w:rsid w:val="00421759"/>
    <w:rsid w:val="00421985"/>
    <w:rsid w:val="0042378A"/>
    <w:rsid w:val="004240EA"/>
    <w:rsid w:val="004257E9"/>
    <w:rsid w:val="00425B4D"/>
    <w:rsid w:val="0042664E"/>
    <w:rsid w:val="00426D46"/>
    <w:rsid w:val="004311C8"/>
    <w:rsid w:val="0043353B"/>
    <w:rsid w:val="00435178"/>
    <w:rsid w:val="0043550F"/>
    <w:rsid w:val="004362C4"/>
    <w:rsid w:val="00436BD2"/>
    <w:rsid w:val="00437E6F"/>
    <w:rsid w:val="004402E2"/>
    <w:rsid w:val="00440CFC"/>
    <w:rsid w:val="00441438"/>
    <w:rsid w:val="00442658"/>
    <w:rsid w:val="004433F7"/>
    <w:rsid w:val="004447AE"/>
    <w:rsid w:val="004447EA"/>
    <w:rsid w:val="00445ADA"/>
    <w:rsid w:val="0044633B"/>
    <w:rsid w:val="004466EF"/>
    <w:rsid w:val="00446703"/>
    <w:rsid w:val="00446C8F"/>
    <w:rsid w:val="00447530"/>
    <w:rsid w:val="00450D9A"/>
    <w:rsid w:val="00452429"/>
    <w:rsid w:val="0045248E"/>
    <w:rsid w:val="0045394B"/>
    <w:rsid w:val="00454334"/>
    <w:rsid w:val="004559B5"/>
    <w:rsid w:val="00455D7E"/>
    <w:rsid w:val="0045611B"/>
    <w:rsid w:val="00456727"/>
    <w:rsid w:val="00460B66"/>
    <w:rsid w:val="004616EB"/>
    <w:rsid w:val="004621D7"/>
    <w:rsid w:val="004630F0"/>
    <w:rsid w:val="00463816"/>
    <w:rsid w:val="00463F79"/>
    <w:rsid w:val="004645C8"/>
    <w:rsid w:val="00464CC9"/>
    <w:rsid w:val="004675AC"/>
    <w:rsid w:val="0046761E"/>
    <w:rsid w:val="00473F80"/>
    <w:rsid w:val="004751BF"/>
    <w:rsid w:val="004756A5"/>
    <w:rsid w:val="004764D4"/>
    <w:rsid w:val="00483DCB"/>
    <w:rsid w:val="004843B7"/>
    <w:rsid w:val="0048460E"/>
    <w:rsid w:val="00484A88"/>
    <w:rsid w:val="0048531A"/>
    <w:rsid w:val="004857FB"/>
    <w:rsid w:val="00485FCD"/>
    <w:rsid w:val="00486263"/>
    <w:rsid w:val="00486F64"/>
    <w:rsid w:val="004907D7"/>
    <w:rsid w:val="004908D8"/>
    <w:rsid w:val="00491C16"/>
    <w:rsid w:val="00493BD7"/>
    <w:rsid w:val="00493DA7"/>
    <w:rsid w:val="0049564E"/>
    <w:rsid w:val="0049728E"/>
    <w:rsid w:val="0049729E"/>
    <w:rsid w:val="00497566"/>
    <w:rsid w:val="004A03C7"/>
    <w:rsid w:val="004A0444"/>
    <w:rsid w:val="004A199E"/>
    <w:rsid w:val="004A1C3B"/>
    <w:rsid w:val="004A2126"/>
    <w:rsid w:val="004A3016"/>
    <w:rsid w:val="004A4163"/>
    <w:rsid w:val="004A424D"/>
    <w:rsid w:val="004A5331"/>
    <w:rsid w:val="004A66B9"/>
    <w:rsid w:val="004A7AA3"/>
    <w:rsid w:val="004B1C47"/>
    <w:rsid w:val="004B45AF"/>
    <w:rsid w:val="004B4CE5"/>
    <w:rsid w:val="004B4CED"/>
    <w:rsid w:val="004B541A"/>
    <w:rsid w:val="004B5C84"/>
    <w:rsid w:val="004B62D4"/>
    <w:rsid w:val="004B66E2"/>
    <w:rsid w:val="004B7D85"/>
    <w:rsid w:val="004C23BF"/>
    <w:rsid w:val="004C26BD"/>
    <w:rsid w:val="004C2EDA"/>
    <w:rsid w:val="004C3CD5"/>
    <w:rsid w:val="004C43FB"/>
    <w:rsid w:val="004C5335"/>
    <w:rsid w:val="004C5B7E"/>
    <w:rsid w:val="004C60BD"/>
    <w:rsid w:val="004D0370"/>
    <w:rsid w:val="004D0BD5"/>
    <w:rsid w:val="004D16A6"/>
    <w:rsid w:val="004D27E6"/>
    <w:rsid w:val="004D3894"/>
    <w:rsid w:val="004D3B96"/>
    <w:rsid w:val="004D4C93"/>
    <w:rsid w:val="004E0ED1"/>
    <w:rsid w:val="004E17F1"/>
    <w:rsid w:val="004E1952"/>
    <w:rsid w:val="004E1C3A"/>
    <w:rsid w:val="004E4962"/>
    <w:rsid w:val="004E4AC5"/>
    <w:rsid w:val="004E4F03"/>
    <w:rsid w:val="004E51D5"/>
    <w:rsid w:val="004E6A23"/>
    <w:rsid w:val="004E7DCE"/>
    <w:rsid w:val="004E7E10"/>
    <w:rsid w:val="004F4ED4"/>
    <w:rsid w:val="004F5E48"/>
    <w:rsid w:val="004F69A6"/>
    <w:rsid w:val="004F6CEC"/>
    <w:rsid w:val="004F734F"/>
    <w:rsid w:val="004F7EA6"/>
    <w:rsid w:val="0050055C"/>
    <w:rsid w:val="00502066"/>
    <w:rsid w:val="00502B3D"/>
    <w:rsid w:val="00503828"/>
    <w:rsid w:val="00503F70"/>
    <w:rsid w:val="00504499"/>
    <w:rsid w:val="005052D0"/>
    <w:rsid w:val="00506BB8"/>
    <w:rsid w:val="00507A68"/>
    <w:rsid w:val="00507C45"/>
    <w:rsid w:val="005105C4"/>
    <w:rsid w:val="00510C10"/>
    <w:rsid w:val="00512031"/>
    <w:rsid w:val="00512332"/>
    <w:rsid w:val="00513594"/>
    <w:rsid w:val="00517452"/>
    <w:rsid w:val="0052031A"/>
    <w:rsid w:val="005237AB"/>
    <w:rsid w:val="005239E7"/>
    <w:rsid w:val="005242E3"/>
    <w:rsid w:val="00530B68"/>
    <w:rsid w:val="00531390"/>
    <w:rsid w:val="0053144B"/>
    <w:rsid w:val="0053145C"/>
    <w:rsid w:val="0053219C"/>
    <w:rsid w:val="00532834"/>
    <w:rsid w:val="00532A80"/>
    <w:rsid w:val="00532C06"/>
    <w:rsid w:val="00533173"/>
    <w:rsid w:val="00534686"/>
    <w:rsid w:val="005355BF"/>
    <w:rsid w:val="0053602F"/>
    <w:rsid w:val="005371F8"/>
    <w:rsid w:val="00537553"/>
    <w:rsid w:val="0054051B"/>
    <w:rsid w:val="00542C07"/>
    <w:rsid w:val="00542ECF"/>
    <w:rsid w:val="00543819"/>
    <w:rsid w:val="00544928"/>
    <w:rsid w:val="00544E47"/>
    <w:rsid w:val="00545AB4"/>
    <w:rsid w:val="0055009B"/>
    <w:rsid w:val="005503DA"/>
    <w:rsid w:val="005518F3"/>
    <w:rsid w:val="0055203A"/>
    <w:rsid w:val="00553022"/>
    <w:rsid w:val="00554862"/>
    <w:rsid w:val="00555FB0"/>
    <w:rsid w:val="00556B34"/>
    <w:rsid w:val="00557700"/>
    <w:rsid w:val="005630B9"/>
    <w:rsid w:val="00564BB4"/>
    <w:rsid w:val="005660F9"/>
    <w:rsid w:val="00566DBB"/>
    <w:rsid w:val="00567098"/>
    <w:rsid w:val="0057266D"/>
    <w:rsid w:val="00572D32"/>
    <w:rsid w:val="00572F0A"/>
    <w:rsid w:val="005748B0"/>
    <w:rsid w:val="0057640A"/>
    <w:rsid w:val="0057737E"/>
    <w:rsid w:val="00577AD8"/>
    <w:rsid w:val="005803A8"/>
    <w:rsid w:val="00580DD8"/>
    <w:rsid w:val="005821D1"/>
    <w:rsid w:val="005838F8"/>
    <w:rsid w:val="005839E6"/>
    <w:rsid w:val="00584B5A"/>
    <w:rsid w:val="00584DA8"/>
    <w:rsid w:val="00585F31"/>
    <w:rsid w:val="005867BB"/>
    <w:rsid w:val="005868EA"/>
    <w:rsid w:val="00586989"/>
    <w:rsid w:val="00590AD2"/>
    <w:rsid w:val="00595349"/>
    <w:rsid w:val="00595440"/>
    <w:rsid w:val="0059582B"/>
    <w:rsid w:val="00595945"/>
    <w:rsid w:val="00595CC4"/>
    <w:rsid w:val="00596579"/>
    <w:rsid w:val="005965D0"/>
    <w:rsid w:val="0059691C"/>
    <w:rsid w:val="0059698E"/>
    <w:rsid w:val="00597A26"/>
    <w:rsid w:val="005A0870"/>
    <w:rsid w:val="005A0A63"/>
    <w:rsid w:val="005A1C55"/>
    <w:rsid w:val="005A4C4B"/>
    <w:rsid w:val="005A4F9B"/>
    <w:rsid w:val="005A5E6C"/>
    <w:rsid w:val="005A6BE1"/>
    <w:rsid w:val="005A7027"/>
    <w:rsid w:val="005A7900"/>
    <w:rsid w:val="005A7A48"/>
    <w:rsid w:val="005A7EB5"/>
    <w:rsid w:val="005B160F"/>
    <w:rsid w:val="005B1F98"/>
    <w:rsid w:val="005B2379"/>
    <w:rsid w:val="005B261C"/>
    <w:rsid w:val="005B2B36"/>
    <w:rsid w:val="005B48D7"/>
    <w:rsid w:val="005B63A4"/>
    <w:rsid w:val="005B6608"/>
    <w:rsid w:val="005B7882"/>
    <w:rsid w:val="005B7D69"/>
    <w:rsid w:val="005C06E7"/>
    <w:rsid w:val="005C1B16"/>
    <w:rsid w:val="005C2816"/>
    <w:rsid w:val="005C38EA"/>
    <w:rsid w:val="005C44D7"/>
    <w:rsid w:val="005C4639"/>
    <w:rsid w:val="005C5A68"/>
    <w:rsid w:val="005C607D"/>
    <w:rsid w:val="005C6D84"/>
    <w:rsid w:val="005C6E68"/>
    <w:rsid w:val="005C7773"/>
    <w:rsid w:val="005D068F"/>
    <w:rsid w:val="005D1B30"/>
    <w:rsid w:val="005D29B3"/>
    <w:rsid w:val="005D2E00"/>
    <w:rsid w:val="005D3361"/>
    <w:rsid w:val="005D369E"/>
    <w:rsid w:val="005D3B1B"/>
    <w:rsid w:val="005D3BD4"/>
    <w:rsid w:val="005D412D"/>
    <w:rsid w:val="005D5B9C"/>
    <w:rsid w:val="005E0A5D"/>
    <w:rsid w:val="005E1172"/>
    <w:rsid w:val="005E1433"/>
    <w:rsid w:val="005E1F85"/>
    <w:rsid w:val="005E2BF7"/>
    <w:rsid w:val="005E37D2"/>
    <w:rsid w:val="005E5AC1"/>
    <w:rsid w:val="005E7225"/>
    <w:rsid w:val="005E76BE"/>
    <w:rsid w:val="005E78A0"/>
    <w:rsid w:val="005F1018"/>
    <w:rsid w:val="005F107E"/>
    <w:rsid w:val="005F1E2C"/>
    <w:rsid w:val="005F3C32"/>
    <w:rsid w:val="005F3E1C"/>
    <w:rsid w:val="005F4AAC"/>
    <w:rsid w:val="005F4B1E"/>
    <w:rsid w:val="005F5D4D"/>
    <w:rsid w:val="005F60F9"/>
    <w:rsid w:val="005F6888"/>
    <w:rsid w:val="005F77F1"/>
    <w:rsid w:val="005F795B"/>
    <w:rsid w:val="005F7D01"/>
    <w:rsid w:val="00600B40"/>
    <w:rsid w:val="00604CA5"/>
    <w:rsid w:val="00605734"/>
    <w:rsid w:val="0060717F"/>
    <w:rsid w:val="006071EF"/>
    <w:rsid w:val="00607D32"/>
    <w:rsid w:val="006102BB"/>
    <w:rsid w:val="00610FA9"/>
    <w:rsid w:val="006111FC"/>
    <w:rsid w:val="0061154E"/>
    <w:rsid w:val="006128F5"/>
    <w:rsid w:val="00613218"/>
    <w:rsid w:val="00614C20"/>
    <w:rsid w:val="006157DC"/>
    <w:rsid w:val="00617469"/>
    <w:rsid w:val="006207B5"/>
    <w:rsid w:val="00623138"/>
    <w:rsid w:val="00624C75"/>
    <w:rsid w:val="00625463"/>
    <w:rsid w:val="0062566C"/>
    <w:rsid w:val="0062662B"/>
    <w:rsid w:val="00626D67"/>
    <w:rsid w:val="00626FCD"/>
    <w:rsid w:val="00627BB1"/>
    <w:rsid w:val="006308C5"/>
    <w:rsid w:val="00630A05"/>
    <w:rsid w:val="0063329C"/>
    <w:rsid w:val="00633A4D"/>
    <w:rsid w:val="00633EEA"/>
    <w:rsid w:val="00633FB9"/>
    <w:rsid w:val="006355BA"/>
    <w:rsid w:val="00635978"/>
    <w:rsid w:val="0063629B"/>
    <w:rsid w:val="00636F29"/>
    <w:rsid w:val="0063759E"/>
    <w:rsid w:val="00637732"/>
    <w:rsid w:val="0064260A"/>
    <w:rsid w:val="00643B25"/>
    <w:rsid w:val="00643CFA"/>
    <w:rsid w:val="00643D7C"/>
    <w:rsid w:val="006453D3"/>
    <w:rsid w:val="00650809"/>
    <w:rsid w:val="00652089"/>
    <w:rsid w:val="00653421"/>
    <w:rsid w:val="0065343F"/>
    <w:rsid w:val="00653A12"/>
    <w:rsid w:val="00654CB9"/>
    <w:rsid w:val="0065528D"/>
    <w:rsid w:val="00655EE5"/>
    <w:rsid w:val="00660FDB"/>
    <w:rsid w:val="00661142"/>
    <w:rsid w:val="00661328"/>
    <w:rsid w:val="0066271F"/>
    <w:rsid w:val="006636DB"/>
    <w:rsid w:val="00665285"/>
    <w:rsid w:val="0066699D"/>
    <w:rsid w:val="00666F9B"/>
    <w:rsid w:val="00670997"/>
    <w:rsid w:val="00670F1A"/>
    <w:rsid w:val="006736FE"/>
    <w:rsid w:val="006739A5"/>
    <w:rsid w:val="00673D0F"/>
    <w:rsid w:val="00674B50"/>
    <w:rsid w:val="0067509C"/>
    <w:rsid w:val="00675E54"/>
    <w:rsid w:val="00680316"/>
    <w:rsid w:val="006803F4"/>
    <w:rsid w:val="00680CED"/>
    <w:rsid w:val="006810FE"/>
    <w:rsid w:val="0068165F"/>
    <w:rsid w:val="0068325E"/>
    <w:rsid w:val="0068375E"/>
    <w:rsid w:val="00684180"/>
    <w:rsid w:val="006847AA"/>
    <w:rsid w:val="00685E9B"/>
    <w:rsid w:val="00691316"/>
    <w:rsid w:val="00693ACA"/>
    <w:rsid w:val="0069421A"/>
    <w:rsid w:val="0069568C"/>
    <w:rsid w:val="00695864"/>
    <w:rsid w:val="00697C9F"/>
    <w:rsid w:val="006A0758"/>
    <w:rsid w:val="006A1253"/>
    <w:rsid w:val="006A2226"/>
    <w:rsid w:val="006A31F1"/>
    <w:rsid w:val="006A4FEE"/>
    <w:rsid w:val="006A545C"/>
    <w:rsid w:val="006A6AA8"/>
    <w:rsid w:val="006A6B10"/>
    <w:rsid w:val="006A77F0"/>
    <w:rsid w:val="006B06A9"/>
    <w:rsid w:val="006B1B79"/>
    <w:rsid w:val="006B2C01"/>
    <w:rsid w:val="006B3F3A"/>
    <w:rsid w:val="006B551B"/>
    <w:rsid w:val="006B7E73"/>
    <w:rsid w:val="006C177C"/>
    <w:rsid w:val="006C3EB9"/>
    <w:rsid w:val="006C4F14"/>
    <w:rsid w:val="006C559B"/>
    <w:rsid w:val="006C58C3"/>
    <w:rsid w:val="006C65B7"/>
    <w:rsid w:val="006C7565"/>
    <w:rsid w:val="006C7775"/>
    <w:rsid w:val="006D01E1"/>
    <w:rsid w:val="006D1AB0"/>
    <w:rsid w:val="006D1E69"/>
    <w:rsid w:val="006D2B1E"/>
    <w:rsid w:val="006D728B"/>
    <w:rsid w:val="006D764A"/>
    <w:rsid w:val="006D7942"/>
    <w:rsid w:val="006E006E"/>
    <w:rsid w:val="006E16F7"/>
    <w:rsid w:val="006E3043"/>
    <w:rsid w:val="006E46F2"/>
    <w:rsid w:val="006F0005"/>
    <w:rsid w:val="006F0297"/>
    <w:rsid w:val="006F069D"/>
    <w:rsid w:val="006F1857"/>
    <w:rsid w:val="006F272E"/>
    <w:rsid w:val="006F285D"/>
    <w:rsid w:val="006F5796"/>
    <w:rsid w:val="006F5BF3"/>
    <w:rsid w:val="006F79F9"/>
    <w:rsid w:val="00701067"/>
    <w:rsid w:val="00701F10"/>
    <w:rsid w:val="007031B0"/>
    <w:rsid w:val="00703CFC"/>
    <w:rsid w:val="00705C9D"/>
    <w:rsid w:val="00705F3D"/>
    <w:rsid w:val="00707B2B"/>
    <w:rsid w:val="00707C11"/>
    <w:rsid w:val="0071028F"/>
    <w:rsid w:val="00711325"/>
    <w:rsid w:val="00713CE2"/>
    <w:rsid w:val="00714C4D"/>
    <w:rsid w:val="0071574F"/>
    <w:rsid w:val="007168F9"/>
    <w:rsid w:val="00717F29"/>
    <w:rsid w:val="00721A52"/>
    <w:rsid w:val="00723012"/>
    <w:rsid w:val="00723B70"/>
    <w:rsid w:val="00724496"/>
    <w:rsid w:val="00725140"/>
    <w:rsid w:val="007279D2"/>
    <w:rsid w:val="00733A64"/>
    <w:rsid w:val="007353A2"/>
    <w:rsid w:val="00735A24"/>
    <w:rsid w:val="0073704A"/>
    <w:rsid w:val="007372B2"/>
    <w:rsid w:val="00737E53"/>
    <w:rsid w:val="00737FA3"/>
    <w:rsid w:val="007409B6"/>
    <w:rsid w:val="0074330B"/>
    <w:rsid w:val="00743B79"/>
    <w:rsid w:val="0074497F"/>
    <w:rsid w:val="00744D74"/>
    <w:rsid w:val="0074538C"/>
    <w:rsid w:val="00745E3A"/>
    <w:rsid w:val="00746287"/>
    <w:rsid w:val="007464B8"/>
    <w:rsid w:val="00750EB5"/>
    <w:rsid w:val="00752CAF"/>
    <w:rsid w:val="00754419"/>
    <w:rsid w:val="007550DA"/>
    <w:rsid w:val="007561C2"/>
    <w:rsid w:val="00756963"/>
    <w:rsid w:val="007574B1"/>
    <w:rsid w:val="00757B7A"/>
    <w:rsid w:val="00757E7F"/>
    <w:rsid w:val="007612F8"/>
    <w:rsid w:val="00761942"/>
    <w:rsid w:val="007633F4"/>
    <w:rsid w:val="00764E50"/>
    <w:rsid w:val="00765994"/>
    <w:rsid w:val="0076664D"/>
    <w:rsid w:val="007671B8"/>
    <w:rsid w:val="007676BC"/>
    <w:rsid w:val="00767CD1"/>
    <w:rsid w:val="00767E1F"/>
    <w:rsid w:val="007707A0"/>
    <w:rsid w:val="00771B5F"/>
    <w:rsid w:val="00771CF5"/>
    <w:rsid w:val="0077201D"/>
    <w:rsid w:val="0077288F"/>
    <w:rsid w:val="00775703"/>
    <w:rsid w:val="007765AF"/>
    <w:rsid w:val="00777475"/>
    <w:rsid w:val="00777A7B"/>
    <w:rsid w:val="00777DD9"/>
    <w:rsid w:val="0078008D"/>
    <w:rsid w:val="00781B9E"/>
    <w:rsid w:val="007839D1"/>
    <w:rsid w:val="007849D4"/>
    <w:rsid w:val="00784AC4"/>
    <w:rsid w:val="00785429"/>
    <w:rsid w:val="00785621"/>
    <w:rsid w:val="0078566B"/>
    <w:rsid w:val="00786074"/>
    <w:rsid w:val="00787211"/>
    <w:rsid w:val="0078735A"/>
    <w:rsid w:val="0078791C"/>
    <w:rsid w:val="0079014A"/>
    <w:rsid w:val="007908BE"/>
    <w:rsid w:val="00791947"/>
    <w:rsid w:val="00791B44"/>
    <w:rsid w:val="0079325E"/>
    <w:rsid w:val="0079326A"/>
    <w:rsid w:val="00793918"/>
    <w:rsid w:val="00794D02"/>
    <w:rsid w:val="007A192E"/>
    <w:rsid w:val="007A1F0C"/>
    <w:rsid w:val="007A1F6E"/>
    <w:rsid w:val="007A2497"/>
    <w:rsid w:val="007A3BA2"/>
    <w:rsid w:val="007A5482"/>
    <w:rsid w:val="007A5725"/>
    <w:rsid w:val="007A5BD3"/>
    <w:rsid w:val="007A6956"/>
    <w:rsid w:val="007A78A7"/>
    <w:rsid w:val="007B4193"/>
    <w:rsid w:val="007B4FFF"/>
    <w:rsid w:val="007B5A61"/>
    <w:rsid w:val="007B5F78"/>
    <w:rsid w:val="007B69D1"/>
    <w:rsid w:val="007B761A"/>
    <w:rsid w:val="007B7C20"/>
    <w:rsid w:val="007C0378"/>
    <w:rsid w:val="007C1948"/>
    <w:rsid w:val="007C1C64"/>
    <w:rsid w:val="007C1E36"/>
    <w:rsid w:val="007C1E9C"/>
    <w:rsid w:val="007C3218"/>
    <w:rsid w:val="007C5E64"/>
    <w:rsid w:val="007D0DB6"/>
    <w:rsid w:val="007D0EAB"/>
    <w:rsid w:val="007D2026"/>
    <w:rsid w:val="007D2B4B"/>
    <w:rsid w:val="007D33F5"/>
    <w:rsid w:val="007D5BDA"/>
    <w:rsid w:val="007D608A"/>
    <w:rsid w:val="007D6C50"/>
    <w:rsid w:val="007D75E6"/>
    <w:rsid w:val="007D785F"/>
    <w:rsid w:val="007D7C39"/>
    <w:rsid w:val="007E0058"/>
    <w:rsid w:val="007E198F"/>
    <w:rsid w:val="007E1BA5"/>
    <w:rsid w:val="007E1BBF"/>
    <w:rsid w:val="007E2E44"/>
    <w:rsid w:val="007E38B2"/>
    <w:rsid w:val="007E43C7"/>
    <w:rsid w:val="007E43D7"/>
    <w:rsid w:val="007E50CF"/>
    <w:rsid w:val="007F08E7"/>
    <w:rsid w:val="007F2688"/>
    <w:rsid w:val="007F2B57"/>
    <w:rsid w:val="007F3605"/>
    <w:rsid w:val="007F386F"/>
    <w:rsid w:val="007F4A5E"/>
    <w:rsid w:val="007F53C2"/>
    <w:rsid w:val="007F58CA"/>
    <w:rsid w:val="007F7C69"/>
    <w:rsid w:val="00800039"/>
    <w:rsid w:val="008008A0"/>
    <w:rsid w:val="00801DE5"/>
    <w:rsid w:val="00802B5D"/>
    <w:rsid w:val="00804831"/>
    <w:rsid w:val="00806D04"/>
    <w:rsid w:val="008070C9"/>
    <w:rsid w:val="008100E0"/>
    <w:rsid w:val="008104EC"/>
    <w:rsid w:val="008106C2"/>
    <w:rsid w:val="00811957"/>
    <w:rsid w:val="00812567"/>
    <w:rsid w:val="00812F76"/>
    <w:rsid w:val="0081327B"/>
    <w:rsid w:val="00813405"/>
    <w:rsid w:val="00813C21"/>
    <w:rsid w:val="00814C0A"/>
    <w:rsid w:val="00815172"/>
    <w:rsid w:val="00816218"/>
    <w:rsid w:val="008169BF"/>
    <w:rsid w:val="00816F90"/>
    <w:rsid w:val="00824705"/>
    <w:rsid w:val="008247A9"/>
    <w:rsid w:val="00826362"/>
    <w:rsid w:val="00826435"/>
    <w:rsid w:val="00827263"/>
    <w:rsid w:val="00827B39"/>
    <w:rsid w:val="00827C45"/>
    <w:rsid w:val="00832289"/>
    <w:rsid w:val="0083281B"/>
    <w:rsid w:val="0083333D"/>
    <w:rsid w:val="0083431F"/>
    <w:rsid w:val="00834F85"/>
    <w:rsid w:val="0083505F"/>
    <w:rsid w:val="00835151"/>
    <w:rsid w:val="008353CF"/>
    <w:rsid w:val="008358C3"/>
    <w:rsid w:val="00836888"/>
    <w:rsid w:val="0083698A"/>
    <w:rsid w:val="00836D04"/>
    <w:rsid w:val="008443B9"/>
    <w:rsid w:val="00845BF4"/>
    <w:rsid w:val="008462AA"/>
    <w:rsid w:val="00846605"/>
    <w:rsid w:val="00846856"/>
    <w:rsid w:val="00846DCF"/>
    <w:rsid w:val="00850FE6"/>
    <w:rsid w:val="00851579"/>
    <w:rsid w:val="008573DE"/>
    <w:rsid w:val="008576DB"/>
    <w:rsid w:val="008648BF"/>
    <w:rsid w:val="00864B3E"/>
    <w:rsid w:val="00864B9F"/>
    <w:rsid w:val="0086543E"/>
    <w:rsid w:val="00867152"/>
    <w:rsid w:val="008674B0"/>
    <w:rsid w:val="00867EEA"/>
    <w:rsid w:val="00870852"/>
    <w:rsid w:val="00872815"/>
    <w:rsid w:val="008732B7"/>
    <w:rsid w:val="00873DB3"/>
    <w:rsid w:val="00876884"/>
    <w:rsid w:val="00876BC8"/>
    <w:rsid w:val="00880121"/>
    <w:rsid w:val="00880E09"/>
    <w:rsid w:val="008822F6"/>
    <w:rsid w:val="0088294D"/>
    <w:rsid w:val="00882A9E"/>
    <w:rsid w:val="0088411A"/>
    <w:rsid w:val="00884CDB"/>
    <w:rsid w:val="0088520C"/>
    <w:rsid w:val="00886D7F"/>
    <w:rsid w:val="00886F8B"/>
    <w:rsid w:val="00887D32"/>
    <w:rsid w:val="00890A96"/>
    <w:rsid w:val="008919D0"/>
    <w:rsid w:val="0089291B"/>
    <w:rsid w:val="008939B5"/>
    <w:rsid w:val="00894B0B"/>
    <w:rsid w:val="00895ED4"/>
    <w:rsid w:val="0089757A"/>
    <w:rsid w:val="00897707"/>
    <w:rsid w:val="00897B1C"/>
    <w:rsid w:val="008A1095"/>
    <w:rsid w:val="008A188B"/>
    <w:rsid w:val="008A2016"/>
    <w:rsid w:val="008A2B70"/>
    <w:rsid w:val="008A331B"/>
    <w:rsid w:val="008A474E"/>
    <w:rsid w:val="008A5184"/>
    <w:rsid w:val="008A53FE"/>
    <w:rsid w:val="008A77C6"/>
    <w:rsid w:val="008A78F9"/>
    <w:rsid w:val="008B2F83"/>
    <w:rsid w:val="008B373C"/>
    <w:rsid w:val="008B3774"/>
    <w:rsid w:val="008B433B"/>
    <w:rsid w:val="008B486C"/>
    <w:rsid w:val="008B5CF9"/>
    <w:rsid w:val="008B7B54"/>
    <w:rsid w:val="008C0700"/>
    <w:rsid w:val="008C1148"/>
    <w:rsid w:val="008C1902"/>
    <w:rsid w:val="008C1968"/>
    <w:rsid w:val="008C1C1A"/>
    <w:rsid w:val="008C2601"/>
    <w:rsid w:val="008C2E6D"/>
    <w:rsid w:val="008C3097"/>
    <w:rsid w:val="008C319A"/>
    <w:rsid w:val="008C3D43"/>
    <w:rsid w:val="008C4302"/>
    <w:rsid w:val="008C46E9"/>
    <w:rsid w:val="008C6633"/>
    <w:rsid w:val="008C717C"/>
    <w:rsid w:val="008C7E96"/>
    <w:rsid w:val="008D0D85"/>
    <w:rsid w:val="008D0EC5"/>
    <w:rsid w:val="008D17EA"/>
    <w:rsid w:val="008D3499"/>
    <w:rsid w:val="008D6A18"/>
    <w:rsid w:val="008D7AF2"/>
    <w:rsid w:val="008E0049"/>
    <w:rsid w:val="008E022D"/>
    <w:rsid w:val="008E16CD"/>
    <w:rsid w:val="008E1D32"/>
    <w:rsid w:val="008E29A7"/>
    <w:rsid w:val="008E2B70"/>
    <w:rsid w:val="008E3714"/>
    <w:rsid w:val="008E4458"/>
    <w:rsid w:val="008E56C5"/>
    <w:rsid w:val="008E5767"/>
    <w:rsid w:val="008E5B64"/>
    <w:rsid w:val="008E6015"/>
    <w:rsid w:val="008E7B6C"/>
    <w:rsid w:val="008E7CF2"/>
    <w:rsid w:val="008F03AB"/>
    <w:rsid w:val="008F05C1"/>
    <w:rsid w:val="008F084B"/>
    <w:rsid w:val="008F0E52"/>
    <w:rsid w:val="008F1654"/>
    <w:rsid w:val="008F58A6"/>
    <w:rsid w:val="008F63AA"/>
    <w:rsid w:val="008F67B9"/>
    <w:rsid w:val="008F7764"/>
    <w:rsid w:val="0090074A"/>
    <w:rsid w:val="009016E1"/>
    <w:rsid w:val="00902A7A"/>
    <w:rsid w:val="00903262"/>
    <w:rsid w:val="009046FE"/>
    <w:rsid w:val="0090559D"/>
    <w:rsid w:val="0090568A"/>
    <w:rsid w:val="009058E1"/>
    <w:rsid w:val="00905AF0"/>
    <w:rsid w:val="009075C0"/>
    <w:rsid w:val="00907C28"/>
    <w:rsid w:val="00907F76"/>
    <w:rsid w:val="009105CA"/>
    <w:rsid w:val="00912AD5"/>
    <w:rsid w:val="009145F5"/>
    <w:rsid w:val="0091461C"/>
    <w:rsid w:val="00914A40"/>
    <w:rsid w:val="009150CC"/>
    <w:rsid w:val="00915EE0"/>
    <w:rsid w:val="00916CF6"/>
    <w:rsid w:val="00917B49"/>
    <w:rsid w:val="009219A2"/>
    <w:rsid w:val="00921CF7"/>
    <w:rsid w:val="009227ED"/>
    <w:rsid w:val="009230B2"/>
    <w:rsid w:val="00924645"/>
    <w:rsid w:val="00930419"/>
    <w:rsid w:val="0093050D"/>
    <w:rsid w:val="009308E3"/>
    <w:rsid w:val="00930A5D"/>
    <w:rsid w:val="009319A0"/>
    <w:rsid w:val="00933E76"/>
    <w:rsid w:val="00934410"/>
    <w:rsid w:val="009358F1"/>
    <w:rsid w:val="009363E3"/>
    <w:rsid w:val="00937247"/>
    <w:rsid w:val="00940CD0"/>
    <w:rsid w:val="00942416"/>
    <w:rsid w:val="00942BA2"/>
    <w:rsid w:val="00942C6E"/>
    <w:rsid w:val="009442CF"/>
    <w:rsid w:val="00945913"/>
    <w:rsid w:val="00947390"/>
    <w:rsid w:val="009479F3"/>
    <w:rsid w:val="0095288C"/>
    <w:rsid w:val="009547BE"/>
    <w:rsid w:val="00954B90"/>
    <w:rsid w:val="0095588C"/>
    <w:rsid w:val="009560A6"/>
    <w:rsid w:val="00956508"/>
    <w:rsid w:val="009608EA"/>
    <w:rsid w:val="00961175"/>
    <w:rsid w:val="009642FD"/>
    <w:rsid w:val="00964314"/>
    <w:rsid w:val="0096435D"/>
    <w:rsid w:val="00964490"/>
    <w:rsid w:val="00965160"/>
    <w:rsid w:val="00967934"/>
    <w:rsid w:val="00967976"/>
    <w:rsid w:val="00967BEA"/>
    <w:rsid w:val="00967C44"/>
    <w:rsid w:val="00970A2A"/>
    <w:rsid w:val="00971708"/>
    <w:rsid w:val="00971C81"/>
    <w:rsid w:val="00973379"/>
    <w:rsid w:val="00975430"/>
    <w:rsid w:val="00975C07"/>
    <w:rsid w:val="00977F8C"/>
    <w:rsid w:val="00980EA0"/>
    <w:rsid w:val="00984C66"/>
    <w:rsid w:val="00984E81"/>
    <w:rsid w:val="00987937"/>
    <w:rsid w:val="00987E6E"/>
    <w:rsid w:val="00987F11"/>
    <w:rsid w:val="0099106D"/>
    <w:rsid w:val="00993D43"/>
    <w:rsid w:val="00994637"/>
    <w:rsid w:val="00996DD3"/>
    <w:rsid w:val="009A0416"/>
    <w:rsid w:val="009A0B80"/>
    <w:rsid w:val="009A1210"/>
    <w:rsid w:val="009A140B"/>
    <w:rsid w:val="009A40BF"/>
    <w:rsid w:val="009A5099"/>
    <w:rsid w:val="009A7B1A"/>
    <w:rsid w:val="009B0073"/>
    <w:rsid w:val="009B0F71"/>
    <w:rsid w:val="009B1AD7"/>
    <w:rsid w:val="009B1C2C"/>
    <w:rsid w:val="009B207F"/>
    <w:rsid w:val="009B3843"/>
    <w:rsid w:val="009B3CB4"/>
    <w:rsid w:val="009B4206"/>
    <w:rsid w:val="009B4CF8"/>
    <w:rsid w:val="009B776D"/>
    <w:rsid w:val="009B77F0"/>
    <w:rsid w:val="009C2228"/>
    <w:rsid w:val="009C304F"/>
    <w:rsid w:val="009C379E"/>
    <w:rsid w:val="009C3B87"/>
    <w:rsid w:val="009C3E51"/>
    <w:rsid w:val="009C686A"/>
    <w:rsid w:val="009C74E5"/>
    <w:rsid w:val="009C7690"/>
    <w:rsid w:val="009D035D"/>
    <w:rsid w:val="009D0769"/>
    <w:rsid w:val="009D1B49"/>
    <w:rsid w:val="009D1DB9"/>
    <w:rsid w:val="009D1E3D"/>
    <w:rsid w:val="009D217D"/>
    <w:rsid w:val="009D4815"/>
    <w:rsid w:val="009D4B42"/>
    <w:rsid w:val="009D4E34"/>
    <w:rsid w:val="009D52E4"/>
    <w:rsid w:val="009D6312"/>
    <w:rsid w:val="009D6D7D"/>
    <w:rsid w:val="009E0ABD"/>
    <w:rsid w:val="009E0BE2"/>
    <w:rsid w:val="009E1CC9"/>
    <w:rsid w:val="009E3C88"/>
    <w:rsid w:val="009E415F"/>
    <w:rsid w:val="009E4DD0"/>
    <w:rsid w:val="009E59F2"/>
    <w:rsid w:val="009E732A"/>
    <w:rsid w:val="009E780E"/>
    <w:rsid w:val="009F0D84"/>
    <w:rsid w:val="009F1D64"/>
    <w:rsid w:val="009F255F"/>
    <w:rsid w:val="009F3071"/>
    <w:rsid w:val="009F3186"/>
    <w:rsid w:val="009F3205"/>
    <w:rsid w:val="009F33BD"/>
    <w:rsid w:val="009F3AFD"/>
    <w:rsid w:val="009F4786"/>
    <w:rsid w:val="009F5EB1"/>
    <w:rsid w:val="009F6CFE"/>
    <w:rsid w:val="009F6F03"/>
    <w:rsid w:val="009F78CB"/>
    <w:rsid w:val="00A00231"/>
    <w:rsid w:val="00A02833"/>
    <w:rsid w:val="00A03172"/>
    <w:rsid w:val="00A03C65"/>
    <w:rsid w:val="00A04359"/>
    <w:rsid w:val="00A05565"/>
    <w:rsid w:val="00A05B50"/>
    <w:rsid w:val="00A05D3B"/>
    <w:rsid w:val="00A06737"/>
    <w:rsid w:val="00A06DB4"/>
    <w:rsid w:val="00A079E0"/>
    <w:rsid w:val="00A07C0D"/>
    <w:rsid w:val="00A1117A"/>
    <w:rsid w:val="00A11235"/>
    <w:rsid w:val="00A113CD"/>
    <w:rsid w:val="00A127A7"/>
    <w:rsid w:val="00A131DA"/>
    <w:rsid w:val="00A17352"/>
    <w:rsid w:val="00A20E88"/>
    <w:rsid w:val="00A20F3C"/>
    <w:rsid w:val="00A231EA"/>
    <w:rsid w:val="00A27187"/>
    <w:rsid w:val="00A300DC"/>
    <w:rsid w:val="00A3041B"/>
    <w:rsid w:val="00A32648"/>
    <w:rsid w:val="00A32D18"/>
    <w:rsid w:val="00A32D98"/>
    <w:rsid w:val="00A34A62"/>
    <w:rsid w:val="00A34D21"/>
    <w:rsid w:val="00A34D75"/>
    <w:rsid w:val="00A361C7"/>
    <w:rsid w:val="00A372B4"/>
    <w:rsid w:val="00A37302"/>
    <w:rsid w:val="00A373F2"/>
    <w:rsid w:val="00A378A7"/>
    <w:rsid w:val="00A37BC3"/>
    <w:rsid w:val="00A40653"/>
    <w:rsid w:val="00A40896"/>
    <w:rsid w:val="00A40B91"/>
    <w:rsid w:val="00A429A0"/>
    <w:rsid w:val="00A42B27"/>
    <w:rsid w:val="00A4380B"/>
    <w:rsid w:val="00A44C34"/>
    <w:rsid w:val="00A44D64"/>
    <w:rsid w:val="00A45149"/>
    <w:rsid w:val="00A4678F"/>
    <w:rsid w:val="00A51871"/>
    <w:rsid w:val="00A521C8"/>
    <w:rsid w:val="00A52271"/>
    <w:rsid w:val="00A541CE"/>
    <w:rsid w:val="00A546FF"/>
    <w:rsid w:val="00A547B4"/>
    <w:rsid w:val="00A54CC9"/>
    <w:rsid w:val="00A54EC9"/>
    <w:rsid w:val="00A56DD3"/>
    <w:rsid w:val="00A57B94"/>
    <w:rsid w:val="00A614B4"/>
    <w:rsid w:val="00A62517"/>
    <w:rsid w:val="00A62CF7"/>
    <w:rsid w:val="00A62FE2"/>
    <w:rsid w:val="00A631BF"/>
    <w:rsid w:val="00A63FCA"/>
    <w:rsid w:val="00A645F9"/>
    <w:rsid w:val="00A6462C"/>
    <w:rsid w:val="00A64898"/>
    <w:rsid w:val="00A65A69"/>
    <w:rsid w:val="00A6636D"/>
    <w:rsid w:val="00A66517"/>
    <w:rsid w:val="00A701AE"/>
    <w:rsid w:val="00A70304"/>
    <w:rsid w:val="00A7038B"/>
    <w:rsid w:val="00A70E33"/>
    <w:rsid w:val="00A7186B"/>
    <w:rsid w:val="00A73C13"/>
    <w:rsid w:val="00A75253"/>
    <w:rsid w:val="00A75F0A"/>
    <w:rsid w:val="00A76F64"/>
    <w:rsid w:val="00A775E4"/>
    <w:rsid w:val="00A776E4"/>
    <w:rsid w:val="00A80F2B"/>
    <w:rsid w:val="00A82B94"/>
    <w:rsid w:val="00A83C4E"/>
    <w:rsid w:val="00A844B2"/>
    <w:rsid w:val="00A852A8"/>
    <w:rsid w:val="00A85D37"/>
    <w:rsid w:val="00A861F5"/>
    <w:rsid w:val="00A9073A"/>
    <w:rsid w:val="00A9081B"/>
    <w:rsid w:val="00A90918"/>
    <w:rsid w:val="00A91817"/>
    <w:rsid w:val="00A920A2"/>
    <w:rsid w:val="00A93265"/>
    <w:rsid w:val="00A95201"/>
    <w:rsid w:val="00A96C8F"/>
    <w:rsid w:val="00A97908"/>
    <w:rsid w:val="00AA0C09"/>
    <w:rsid w:val="00AA1C57"/>
    <w:rsid w:val="00AA20C8"/>
    <w:rsid w:val="00AA41FC"/>
    <w:rsid w:val="00AA4219"/>
    <w:rsid w:val="00AA43D4"/>
    <w:rsid w:val="00AA61E8"/>
    <w:rsid w:val="00AA7486"/>
    <w:rsid w:val="00AB04D5"/>
    <w:rsid w:val="00AB0CAC"/>
    <w:rsid w:val="00AB1F45"/>
    <w:rsid w:val="00AB26C2"/>
    <w:rsid w:val="00AB54C0"/>
    <w:rsid w:val="00AB5E35"/>
    <w:rsid w:val="00AB63C5"/>
    <w:rsid w:val="00AB72E3"/>
    <w:rsid w:val="00AB77D8"/>
    <w:rsid w:val="00AC0A3D"/>
    <w:rsid w:val="00AC0BC9"/>
    <w:rsid w:val="00AC16D1"/>
    <w:rsid w:val="00AC1984"/>
    <w:rsid w:val="00AC1B22"/>
    <w:rsid w:val="00AC322F"/>
    <w:rsid w:val="00AC32AE"/>
    <w:rsid w:val="00AC3669"/>
    <w:rsid w:val="00AC687F"/>
    <w:rsid w:val="00AC75FE"/>
    <w:rsid w:val="00AD07CB"/>
    <w:rsid w:val="00AD1171"/>
    <w:rsid w:val="00AD12E7"/>
    <w:rsid w:val="00AD1B8A"/>
    <w:rsid w:val="00AD1EE0"/>
    <w:rsid w:val="00AD2F2B"/>
    <w:rsid w:val="00AD5E41"/>
    <w:rsid w:val="00AD7115"/>
    <w:rsid w:val="00AD7D04"/>
    <w:rsid w:val="00AE22E3"/>
    <w:rsid w:val="00AE2776"/>
    <w:rsid w:val="00AE2F11"/>
    <w:rsid w:val="00AE40BD"/>
    <w:rsid w:val="00AE4603"/>
    <w:rsid w:val="00AE6497"/>
    <w:rsid w:val="00AE72A8"/>
    <w:rsid w:val="00AE741D"/>
    <w:rsid w:val="00AE747D"/>
    <w:rsid w:val="00AE7524"/>
    <w:rsid w:val="00AE795A"/>
    <w:rsid w:val="00AE7E6B"/>
    <w:rsid w:val="00AF0BA4"/>
    <w:rsid w:val="00AF1E07"/>
    <w:rsid w:val="00AF296F"/>
    <w:rsid w:val="00AF3BF0"/>
    <w:rsid w:val="00AF616D"/>
    <w:rsid w:val="00AF79E1"/>
    <w:rsid w:val="00B00BED"/>
    <w:rsid w:val="00B01105"/>
    <w:rsid w:val="00B026E8"/>
    <w:rsid w:val="00B032CF"/>
    <w:rsid w:val="00B0418F"/>
    <w:rsid w:val="00B048CB"/>
    <w:rsid w:val="00B06168"/>
    <w:rsid w:val="00B070AC"/>
    <w:rsid w:val="00B10B81"/>
    <w:rsid w:val="00B11EC0"/>
    <w:rsid w:val="00B1228C"/>
    <w:rsid w:val="00B12C93"/>
    <w:rsid w:val="00B13030"/>
    <w:rsid w:val="00B148BF"/>
    <w:rsid w:val="00B15223"/>
    <w:rsid w:val="00B1563C"/>
    <w:rsid w:val="00B165B5"/>
    <w:rsid w:val="00B16B07"/>
    <w:rsid w:val="00B17194"/>
    <w:rsid w:val="00B176EB"/>
    <w:rsid w:val="00B21751"/>
    <w:rsid w:val="00B23AD8"/>
    <w:rsid w:val="00B23ECE"/>
    <w:rsid w:val="00B245AA"/>
    <w:rsid w:val="00B2502A"/>
    <w:rsid w:val="00B31EC2"/>
    <w:rsid w:val="00B33427"/>
    <w:rsid w:val="00B3376B"/>
    <w:rsid w:val="00B33875"/>
    <w:rsid w:val="00B343DE"/>
    <w:rsid w:val="00B353C2"/>
    <w:rsid w:val="00B35C9B"/>
    <w:rsid w:val="00B36159"/>
    <w:rsid w:val="00B362EB"/>
    <w:rsid w:val="00B36B1D"/>
    <w:rsid w:val="00B37194"/>
    <w:rsid w:val="00B371EC"/>
    <w:rsid w:val="00B407F0"/>
    <w:rsid w:val="00B40B79"/>
    <w:rsid w:val="00B43372"/>
    <w:rsid w:val="00B43B22"/>
    <w:rsid w:val="00B448B9"/>
    <w:rsid w:val="00B448E7"/>
    <w:rsid w:val="00B44941"/>
    <w:rsid w:val="00B45447"/>
    <w:rsid w:val="00B45542"/>
    <w:rsid w:val="00B4664C"/>
    <w:rsid w:val="00B46970"/>
    <w:rsid w:val="00B47AC9"/>
    <w:rsid w:val="00B50403"/>
    <w:rsid w:val="00B5151B"/>
    <w:rsid w:val="00B5226F"/>
    <w:rsid w:val="00B5286D"/>
    <w:rsid w:val="00B52F4D"/>
    <w:rsid w:val="00B541CB"/>
    <w:rsid w:val="00B55045"/>
    <w:rsid w:val="00B557CA"/>
    <w:rsid w:val="00B5634A"/>
    <w:rsid w:val="00B56ACF"/>
    <w:rsid w:val="00B60CFC"/>
    <w:rsid w:val="00B60F4B"/>
    <w:rsid w:val="00B629A5"/>
    <w:rsid w:val="00B62FE2"/>
    <w:rsid w:val="00B635E6"/>
    <w:rsid w:val="00B65BE0"/>
    <w:rsid w:val="00B66B25"/>
    <w:rsid w:val="00B66D4F"/>
    <w:rsid w:val="00B66EBA"/>
    <w:rsid w:val="00B66F6B"/>
    <w:rsid w:val="00B7031F"/>
    <w:rsid w:val="00B70BC0"/>
    <w:rsid w:val="00B7247F"/>
    <w:rsid w:val="00B7284D"/>
    <w:rsid w:val="00B72D3F"/>
    <w:rsid w:val="00B75189"/>
    <w:rsid w:val="00B7567B"/>
    <w:rsid w:val="00B7711B"/>
    <w:rsid w:val="00B826C3"/>
    <w:rsid w:val="00B83FC3"/>
    <w:rsid w:val="00B84010"/>
    <w:rsid w:val="00B84D15"/>
    <w:rsid w:val="00B84DC4"/>
    <w:rsid w:val="00B86B27"/>
    <w:rsid w:val="00B874E7"/>
    <w:rsid w:val="00B90F1D"/>
    <w:rsid w:val="00B9203F"/>
    <w:rsid w:val="00B9272F"/>
    <w:rsid w:val="00B929A2"/>
    <w:rsid w:val="00B92DA7"/>
    <w:rsid w:val="00B933A9"/>
    <w:rsid w:val="00B94B82"/>
    <w:rsid w:val="00B94D23"/>
    <w:rsid w:val="00B96723"/>
    <w:rsid w:val="00B96935"/>
    <w:rsid w:val="00BA06EF"/>
    <w:rsid w:val="00BA0EF6"/>
    <w:rsid w:val="00BA270B"/>
    <w:rsid w:val="00BA2C09"/>
    <w:rsid w:val="00BA589B"/>
    <w:rsid w:val="00BA6097"/>
    <w:rsid w:val="00BA6161"/>
    <w:rsid w:val="00BA6275"/>
    <w:rsid w:val="00BA6E9F"/>
    <w:rsid w:val="00BA7796"/>
    <w:rsid w:val="00BB13F3"/>
    <w:rsid w:val="00BB15C7"/>
    <w:rsid w:val="00BB17F7"/>
    <w:rsid w:val="00BB26F6"/>
    <w:rsid w:val="00BB3AC8"/>
    <w:rsid w:val="00BB4E2E"/>
    <w:rsid w:val="00BC05EA"/>
    <w:rsid w:val="00BC0646"/>
    <w:rsid w:val="00BC082C"/>
    <w:rsid w:val="00BC0A0A"/>
    <w:rsid w:val="00BC0FAE"/>
    <w:rsid w:val="00BC16F9"/>
    <w:rsid w:val="00BC3E8D"/>
    <w:rsid w:val="00BC4DF5"/>
    <w:rsid w:val="00BC64F4"/>
    <w:rsid w:val="00BC71B2"/>
    <w:rsid w:val="00BD0F43"/>
    <w:rsid w:val="00BD24E0"/>
    <w:rsid w:val="00BD41DE"/>
    <w:rsid w:val="00BD4CE8"/>
    <w:rsid w:val="00BD6297"/>
    <w:rsid w:val="00BD7306"/>
    <w:rsid w:val="00BD7A26"/>
    <w:rsid w:val="00BD7AAD"/>
    <w:rsid w:val="00BE113E"/>
    <w:rsid w:val="00BE1722"/>
    <w:rsid w:val="00BE1AA1"/>
    <w:rsid w:val="00BE333D"/>
    <w:rsid w:val="00BE4831"/>
    <w:rsid w:val="00BE49DC"/>
    <w:rsid w:val="00BE4BC6"/>
    <w:rsid w:val="00BE5912"/>
    <w:rsid w:val="00BE6283"/>
    <w:rsid w:val="00BE6861"/>
    <w:rsid w:val="00BF0E54"/>
    <w:rsid w:val="00BF284F"/>
    <w:rsid w:val="00BF29F4"/>
    <w:rsid w:val="00BF510D"/>
    <w:rsid w:val="00BF59B9"/>
    <w:rsid w:val="00BF5F61"/>
    <w:rsid w:val="00BF6146"/>
    <w:rsid w:val="00BF6190"/>
    <w:rsid w:val="00BF6737"/>
    <w:rsid w:val="00BF721A"/>
    <w:rsid w:val="00BF72D8"/>
    <w:rsid w:val="00C0095A"/>
    <w:rsid w:val="00C00AA6"/>
    <w:rsid w:val="00C035CA"/>
    <w:rsid w:val="00C044B2"/>
    <w:rsid w:val="00C04E48"/>
    <w:rsid w:val="00C05AD5"/>
    <w:rsid w:val="00C05C85"/>
    <w:rsid w:val="00C05D46"/>
    <w:rsid w:val="00C05F16"/>
    <w:rsid w:val="00C0641D"/>
    <w:rsid w:val="00C06B4A"/>
    <w:rsid w:val="00C07A2B"/>
    <w:rsid w:val="00C12070"/>
    <w:rsid w:val="00C12251"/>
    <w:rsid w:val="00C12570"/>
    <w:rsid w:val="00C1344F"/>
    <w:rsid w:val="00C13EA9"/>
    <w:rsid w:val="00C14406"/>
    <w:rsid w:val="00C1653D"/>
    <w:rsid w:val="00C17976"/>
    <w:rsid w:val="00C17B88"/>
    <w:rsid w:val="00C20AF7"/>
    <w:rsid w:val="00C21A0E"/>
    <w:rsid w:val="00C237A9"/>
    <w:rsid w:val="00C24790"/>
    <w:rsid w:val="00C2496D"/>
    <w:rsid w:val="00C24BB5"/>
    <w:rsid w:val="00C2610A"/>
    <w:rsid w:val="00C26CD4"/>
    <w:rsid w:val="00C2717A"/>
    <w:rsid w:val="00C304EC"/>
    <w:rsid w:val="00C3092C"/>
    <w:rsid w:val="00C30F09"/>
    <w:rsid w:val="00C312B7"/>
    <w:rsid w:val="00C318F7"/>
    <w:rsid w:val="00C332FC"/>
    <w:rsid w:val="00C33413"/>
    <w:rsid w:val="00C33B24"/>
    <w:rsid w:val="00C341F8"/>
    <w:rsid w:val="00C35137"/>
    <w:rsid w:val="00C361B6"/>
    <w:rsid w:val="00C36CEF"/>
    <w:rsid w:val="00C37875"/>
    <w:rsid w:val="00C400D6"/>
    <w:rsid w:val="00C43518"/>
    <w:rsid w:val="00C45153"/>
    <w:rsid w:val="00C454D4"/>
    <w:rsid w:val="00C50571"/>
    <w:rsid w:val="00C508A3"/>
    <w:rsid w:val="00C517D4"/>
    <w:rsid w:val="00C57B73"/>
    <w:rsid w:val="00C57CF8"/>
    <w:rsid w:val="00C6056A"/>
    <w:rsid w:val="00C61955"/>
    <w:rsid w:val="00C62CD1"/>
    <w:rsid w:val="00C63106"/>
    <w:rsid w:val="00C63B07"/>
    <w:rsid w:val="00C63C69"/>
    <w:rsid w:val="00C724EE"/>
    <w:rsid w:val="00C731A0"/>
    <w:rsid w:val="00C74B54"/>
    <w:rsid w:val="00C74BD5"/>
    <w:rsid w:val="00C75708"/>
    <w:rsid w:val="00C76DE0"/>
    <w:rsid w:val="00C800F7"/>
    <w:rsid w:val="00C815C0"/>
    <w:rsid w:val="00C8171E"/>
    <w:rsid w:val="00C830E7"/>
    <w:rsid w:val="00C83B29"/>
    <w:rsid w:val="00C8464E"/>
    <w:rsid w:val="00C848B9"/>
    <w:rsid w:val="00C86E78"/>
    <w:rsid w:val="00C873BD"/>
    <w:rsid w:val="00C87CE3"/>
    <w:rsid w:val="00C91F14"/>
    <w:rsid w:val="00C93008"/>
    <w:rsid w:val="00C93156"/>
    <w:rsid w:val="00C9340C"/>
    <w:rsid w:val="00C936FD"/>
    <w:rsid w:val="00C93B36"/>
    <w:rsid w:val="00C941C1"/>
    <w:rsid w:val="00C95523"/>
    <w:rsid w:val="00C959EF"/>
    <w:rsid w:val="00C95CE9"/>
    <w:rsid w:val="00C97812"/>
    <w:rsid w:val="00CA064F"/>
    <w:rsid w:val="00CA1818"/>
    <w:rsid w:val="00CA1940"/>
    <w:rsid w:val="00CA1E4B"/>
    <w:rsid w:val="00CA204F"/>
    <w:rsid w:val="00CA3045"/>
    <w:rsid w:val="00CA4269"/>
    <w:rsid w:val="00CA5184"/>
    <w:rsid w:val="00CA68F7"/>
    <w:rsid w:val="00CA6EA3"/>
    <w:rsid w:val="00CA7433"/>
    <w:rsid w:val="00CA785A"/>
    <w:rsid w:val="00CB04EC"/>
    <w:rsid w:val="00CB17CE"/>
    <w:rsid w:val="00CB21A9"/>
    <w:rsid w:val="00CB2BEC"/>
    <w:rsid w:val="00CB2D9C"/>
    <w:rsid w:val="00CB60E3"/>
    <w:rsid w:val="00CB625F"/>
    <w:rsid w:val="00CC0C18"/>
    <w:rsid w:val="00CC0C4A"/>
    <w:rsid w:val="00CC1236"/>
    <w:rsid w:val="00CC2E4D"/>
    <w:rsid w:val="00CC4E47"/>
    <w:rsid w:val="00CC522D"/>
    <w:rsid w:val="00CC67A1"/>
    <w:rsid w:val="00CC7125"/>
    <w:rsid w:val="00CD0A71"/>
    <w:rsid w:val="00CD1D41"/>
    <w:rsid w:val="00CD2FAD"/>
    <w:rsid w:val="00CD3BB3"/>
    <w:rsid w:val="00CD4184"/>
    <w:rsid w:val="00CD4372"/>
    <w:rsid w:val="00CD43B1"/>
    <w:rsid w:val="00CD54EA"/>
    <w:rsid w:val="00CE0A23"/>
    <w:rsid w:val="00CE2B8B"/>
    <w:rsid w:val="00CE2E3B"/>
    <w:rsid w:val="00CE7A65"/>
    <w:rsid w:val="00CE7BA1"/>
    <w:rsid w:val="00CF07E6"/>
    <w:rsid w:val="00CF0EC5"/>
    <w:rsid w:val="00CF0ED4"/>
    <w:rsid w:val="00CF1766"/>
    <w:rsid w:val="00CF1AF7"/>
    <w:rsid w:val="00CF1DB7"/>
    <w:rsid w:val="00CF2F8A"/>
    <w:rsid w:val="00CF510B"/>
    <w:rsid w:val="00CF580A"/>
    <w:rsid w:val="00CF61AD"/>
    <w:rsid w:val="00CF71BB"/>
    <w:rsid w:val="00CF7B7C"/>
    <w:rsid w:val="00D003A8"/>
    <w:rsid w:val="00D007A3"/>
    <w:rsid w:val="00D00844"/>
    <w:rsid w:val="00D00896"/>
    <w:rsid w:val="00D00BDE"/>
    <w:rsid w:val="00D0301D"/>
    <w:rsid w:val="00D04CE9"/>
    <w:rsid w:val="00D04F23"/>
    <w:rsid w:val="00D0504F"/>
    <w:rsid w:val="00D06D74"/>
    <w:rsid w:val="00D118E3"/>
    <w:rsid w:val="00D11ED9"/>
    <w:rsid w:val="00D12433"/>
    <w:rsid w:val="00D13A1B"/>
    <w:rsid w:val="00D13EDB"/>
    <w:rsid w:val="00D143C2"/>
    <w:rsid w:val="00D1476F"/>
    <w:rsid w:val="00D14C76"/>
    <w:rsid w:val="00D154B8"/>
    <w:rsid w:val="00D15FD9"/>
    <w:rsid w:val="00D16678"/>
    <w:rsid w:val="00D203FB"/>
    <w:rsid w:val="00D21566"/>
    <w:rsid w:val="00D22D9E"/>
    <w:rsid w:val="00D24E3A"/>
    <w:rsid w:val="00D2552E"/>
    <w:rsid w:val="00D26103"/>
    <w:rsid w:val="00D270F7"/>
    <w:rsid w:val="00D27116"/>
    <w:rsid w:val="00D27307"/>
    <w:rsid w:val="00D3110E"/>
    <w:rsid w:val="00D312B6"/>
    <w:rsid w:val="00D31E61"/>
    <w:rsid w:val="00D32867"/>
    <w:rsid w:val="00D32FD8"/>
    <w:rsid w:val="00D33DD1"/>
    <w:rsid w:val="00D345A5"/>
    <w:rsid w:val="00D35180"/>
    <w:rsid w:val="00D40072"/>
    <w:rsid w:val="00D407BF"/>
    <w:rsid w:val="00D40B58"/>
    <w:rsid w:val="00D41E45"/>
    <w:rsid w:val="00D41E4F"/>
    <w:rsid w:val="00D42A12"/>
    <w:rsid w:val="00D42C52"/>
    <w:rsid w:val="00D42C77"/>
    <w:rsid w:val="00D4362D"/>
    <w:rsid w:val="00D44064"/>
    <w:rsid w:val="00D449F2"/>
    <w:rsid w:val="00D44FA3"/>
    <w:rsid w:val="00D46100"/>
    <w:rsid w:val="00D46EC6"/>
    <w:rsid w:val="00D4723C"/>
    <w:rsid w:val="00D47B1E"/>
    <w:rsid w:val="00D50034"/>
    <w:rsid w:val="00D5087E"/>
    <w:rsid w:val="00D50FB6"/>
    <w:rsid w:val="00D52234"/>
    <w:rsid w:val="00D522D7"/>
    <w:rsid w:val="00D533A6"/>
    <w:rsid w:val="00D535C0"/>
    <w:rsid w:val="00D540A1"/>
    <w:rsid w:val="00D54783"/>
    <w:rsid w:val="00D558CA"/>
    <w:rsid w:val="00D56A25"/>
    <w:rsid w:val="00D56C81"/>
    <w:rsid w:val="00D56E75"/>
    <w:rsid w:val="00D57B6B"/>
    <w:rsid w:val="00D6086E"/>
    <w:rsid w:val="00D61A5E"/>
    <w:rsid w:val="00D61EF2"/>
    <w:rsid w:val="00D627D5"/>
    <w:rsid w:val="00D64CD0"/>
    <w:rsid w:val="00D66543"/>
    <w:rsid w:val="00D70084"/>
    <w:rsid w:val="00D70E7A"/>
    <w:rsid w:val="00D70FB2"/>
    <w:rsid w:val="00D7126A"/>
    <w:rsid w:val="00D71456"/>
    <w:rsid w:val="00D71662"/>
    <w:rsid w:val="00D73CCE"/>
    <w:rsid w:val="00D74E60"/>
    <w:rsid w:val="00D75542"/>
    <w:rsid w:val="00D75988"/>
    <w:rsid w:val="00D763F6"/>
    <w:rsid w:val="00D773DD"/>
    <w:rsid w:val="00D77AB5"/>
    <w:rsid w:val="00D800D0"/>
    <w:rsid w:val="00D82F02"/>
    <w:rsid w:val="00D84507"/>
    <w:rsid w:val="00D85358"/>
    <w:rsid w:val="00D85960"/>
    <w:rsid w:val="00D85D06"/>
    <w:rsid w:val="00D86259"/>
    <w:rsid w:val="00D908FA"/>
    <w:rsid w:val="00D90D9D"/>
    <w:rsid w:val="00D92283"/>
    <w:rsid w:val="00D93C23"/>
    <w:rsid w:val="00D94742"/>
    <w:rsid w:val="00D96D39"/>
    <w:rsid w:val="00D97C4A"/>
    <w:rsid w:val="00DA10E3"/>
    <w:rsid w:val="00DA16B5"/>
    <w:rsid w:val="00DA36E7"/>
    <w:rsid w:val="00DA44CC"/>
    <w:rsid w:val="00DA5058"/>
    <w:rsid w:val="00DA5693"/>
    <w:rsid w:val="00DA5DE8"/>
    <w:rsid w:val="00DA6CE2"/>
    <w:rsid w:val="00DA736C"/>
    <w:rsid w:val="00DB010B"/>
    <w:rsid w:val="00DB0339"/>
    <w:rsid w:val="00DB14AC"/>
    <w:rsid w:val="00DB22CA"/>
    <w:rsid w:val="00DB22F3"/>
    <w:rsid w:val="00DB39D0"/>
    <w:rsid w:val="00DB44F4"/>
    <w:rsid w:val="00DB4723"/>
    <w:rsid w:val="00DB6440"/>
    <w:rsid w:val="00DB651A"/>
    <w:rsid w:val="00DB6BEC"/>
    <w:rsid w:val="00DB6ED7"/>
    <w:rsid w:val="00DB798E"/>
    <w:rsid w:val="00DC024A"/>
    <w:rsid w:val="00DC0585"/>
    <w:rsid w:val="00DC0AA6"/>
    <w:rsid w:val="00DC231E"/>
    <w:rsid w:val="00DC32DE"/>
    <w:rsid w:val="00DC3A9A"/>
    <w:rsid w:val="00DC435F"/>
    <w:rsid w:val="00DC4454"/>
    <w:rsid w:val="00DC4510"/>
    <w:rsid w:val="00DC57B3"/>
    <w:rsid w:val="00DC5F7A"/>
    <w:rsid w:val="00DC7C25"/>
    <w:rsid w:val="00DD0A70"/>
    <w:rsid w:val="00DD13A3"/>
    <w:rsid w:val="00DD18A3"/>
    <w:rsid w:val="00DD2BC7"/>
    <w:rsid w:val="00DD316B"/>
    <w:rsid w:val="00DD3173"/>
    <w:rsid w:val="00DD4C16"/>
    <w:rsid w:val="00DD4D83"/>
    <w:rsid w:val="00DD5A2F"/>
    <w:rsid w:val="00DD6085"/>
    <w:rsid w:val="00DD775A"/>
    <w:rsid w:val="00DE1302"/>
    <w:rsid w:val="00DE1B25"/>
    <w:rsid w:val="00DE1B91"/>
    <w:rsid w:val="00DE2DC3"/>
    <w:rsid w:val="00DE4000"/>
    <w:rsid w:val="00DE4402"/>
    <w:rsid w:val="00DE56A8"/>
    <w:rsid w:val="00DF00AB"/>
    <w:rsid w:val="00DF0DE7"/>
    <w:rsid w:val="00DF184D"/>
    <w:rsid w:val="00DF21E1"/>
    <w:rsid w:val="00DF3445"/>
    <w:rsid w:val="00DF38E6"/>
    <w:rsid w:val="00DF52E0"/>
    <w:rsid w:val="00DF612C"/>
    <w:rsid w:val="00DF6695"/>
    <w:rsid w:val="00DF6BF4"/>
    <w:rsid w:val="00DF7A46"/>
    <w:rsid w:val="00E00794"/>
    <w:rsid w:val="00E00A04"/>
    <w:rsid w:val="00E00A60"/>
    <w:rsid w:val="00E00FA8"/>
    <w:rsid w:val="00E00FF9"/>
    <w:rsid w:val="00E01AE6"/>
    <w:rsid w:val="00E02124"/>
    <w:rsid w:val="00E0337F"/>
    <w:rsid w:val="00E034B4"/>
    <w:rsid w:val="00E038A9"/>
    <w:rsid w:val="00E0425A"/>
    <w:rsid w:val="00E0430E"/>
    <w:rsid w:val="00E05D6A"/>
    <w:rsid w:val="00E07CD6"/>
    <w:rsid w:val="00E12405"/>
    <w:rsid w:val="00E12A9A"/>
    <w:rsid w:val="00E14310"/>
    <w:rsid w:val="00E16DCB"/>
    <w:rsid w:val="00E17A00"/>
    <w:rsid w:val="00E2407A"/>
    <w:rsid w:val="00E24576"/>
    <w:rsid w:val="00E24919"/>
    <w:rsid w:val="00E2544B"/>
    <w:rsid w:val="00E264F9"/>
    <w:rsid w:val="00E26DDD"/>
    <w:rsid w:val="00E27EAF"/>
    <w:rsid w:val="00E30CA7"/>
    <w:rsid w:val="00E30E7E"/>
    <w:rsid w:val="00E30F83"/>
    <w:rsid w:val="00E319D0"/>
    <w:rsid w:val="00E32DD9"/>
    <w:rsid w:val="00E3382B"/>
    <w:rsid w:val="00E33E19"/>
    <w:rsid w:val="00E33F86"/>
    <w:rsid w:val="00E350AF"/>
    <w:rsid w:val="00E376C3"/>
    <w:rsid w:val="00E37E66"/>
    <w:rsid w:val="00E4045B"/>
    <w:rsid w:val="00E41C1E"/>
    <w:rsid w:val="00E458FF"/>
    <w:rsid w:val="00E46709"/>
    <w:rsid w:val="00E469E0"/>
    <w:rsid w:val="00E47814"/>
    <w:rsid w:val="00E52BA7"/>
    <w:rsid w:val="00E53320"/>
    <w:rsid w:val="00E53734"/>
    <w:rsid w:val="00E544DB"/>
    <w:rsid w:val="00E55507"/>
    <w:rsid w:val="00E55CE3"/>
    <w:rsid w:val="00E576D7"/>
    <w:rsid w:val="00E601EF"/>
    <w:rsid w:val="00E60606"/>
    <w:rsid w:val="00E619E7"/>
    <w:rsid w:val="00E62FDD"/>
    <w:rsid w:val="00E6562C"/>
    <w:rsid w:val="00E66F9F"/>
    <w:rsid w:val="00E678B2"/>
    <w:rsid w:val="00E7018A"/>
    <w:rsid w:val="00E71DA9"/>
    <w:rsid w:val="00E71E71"/>
    <w:rsid w:val="00E72617"/>
    <w:rsid w:val="00E72981"/>
    <w:rsid w:val="00E7388B"/>
    <w:rsid w:val="00E73B16"/>
    <w:rsid w:val="00E73C12"/>
    <w:rsid w:val="00E73EC7"/>
    <w:rsid w:val="00E74962"/>
    <w:rsid w:val="00E76E7F"/>
    <w:rsid w:val="00E806A7"/>
    <w:rsid w:val="00E80DE6"/>
    <w:rsid w:val="00E81865"/>
    <w:rsid w:val="00E82B03"/>
    <w:rsid w:val="00E84DB9"/>
    <w:rsid w:val="00E854B2"/>
    <w:rsid w:val="00E85BA7"/>
    <w:rsid w:val="00E869AC"/>
    <w:rsid w:val="00E86F66"/>
    <w:rsid w:val="00E9016B"/>
    <w:rsid w:val="00E902B1"/>
    <w:rsid w:val="00E9196E"/>
    <w:rsid w:val="00E92D76"/>
    <w:rsid w:val="00E95C25"/>
    <w:rsid w:val="00E964B8"/>
    <w:rsid w:val="00EA0698"/>
    <w:rsid w:val="00EA0A0F"/>
    <w:rsid w:val="00EA11C4"/>
    <w:rsid w:val="00EA150F"/>
    <w:rsid w:val="00EA232C"/>
    <w:rsid w:val="00EA30A1"/>
    <w:rsid w:val="00EA46BC"/>
    <w:rsid w:val="00EA4C4B"/>
    <w:rsid w:val="00EA4E9D"/>
    <w:rsid w:val="00EA77FE"/>
    <w:rsid w:val="00EA7B3D"/>
    <w:rsid w:val="00EA7C0D"/>
    <w:rsid w:val="00EB1749"/>
    <w:rsid w:val="00EB1BB7"/>
    <w:rsid w:val="00EB1DB5"/>
    <w:rsid w:val="00EB26D8"/>
    <w:rsid w:val="00EB28B3"/>
    <w:rsid w:val="00EB2A82"/>
    <w:rsid w:val="00EB37EC"/>
    <w:rsid w:val="00EB39D1"/>
    <w:rsid w:val="00EB445E"/>
    <w:rsid w:val="00EB44BA"/>
    <w:rsid w:val="00EB7071"/>
    <w:rsid w:val="00EC026B"/>
    <w:rsid w:val="00EC139B"/>
    <w:rsid w:val="00EC1F23"/>
    <w:rsid w:val="00EC32D1"/>
    <w:rsid w:val="00EC34A9"/>
    <w:rsid w:val="00EC388E"/>
    <w:rsid w:val="00EC5AB2"/>
    <w:rsid w:val="00EC6486"/>
    <w:rsid w:val="00EC792F"/>
    <w:rsid w:val="00ED0A89"/>
    <w:rsid w:val="00ED0DFA"/>
    <w:rsid w:val="00ED1BE0"/>
    <w:rsid w:val="00ED1C1C"/>
    <w:rsid w:val="00ED4AD0"/>
    <w:rsid w:val="00ED549F"/>
    <w:rsid w:val="00EE08AB"/>
    <w:rsid w:val="00EE248E"/>
    <w:rsid w:val="00EE372F"/>
    <w:rsid w:val="00EE3996"/>
    <w:rsid w:val="00EE4399"/>
    <w:rsid w:val="00EE4C8A"/>
    <w:rsid w:val="00EE552B"/>
    <w:rsid w:val="00EE5BC2"/>
    <w:rsid w:val="00EE6590"/>
    <w:rsid w:val="00EE65F4"/>
    <w:rsid w:val="00EE67B9"/>
    <w:rsid w:val="00EF0462"/>
    <w:rsid w:val="00EF0AD1"/>
    <w:rsid w:val="00EF0E2E"/>
    <w:rsid w:val="00EF0E9E"/>
    <w:rsid w:val="00EF126C"/>
    <w:rsid w:val="00EF3239"/>
    <w:rsid w:val="00EF3BD4"/>
    <w:rsid w:val="00EF4274"/>
    <w:rsid w:val="00EF5265"/>
    <w:rsid w:val="00EF596A"/>
    <w:rsid w:val="00EF6BEE"/>
    <w:rsid w:val="00EF6D05"/>
    <w:rsid w:val="00EF757D"/>
    <w:rsid w:val="00EF76E3"/>
    <w:rsid w:val="00F00BA8"/>
    <w:rsid w:val="00F00E7A"/>
    <w:rsid w:val="00F00F1C"/>
    <w:rsid w:val="00F01655"/>
    <w:rsid w:val="00F018E6"/>
    <w:rsid w:val="00F018F1"/>
    <w:rsid w:val="00F024AE"/>
    <w:rsid w:val="00F034C2"/>
    <w:rsid w:val="00F03FEA"/>
    <w:rsid w:val="00F07DE6"/>
    <w:rsid w:val="00F10640"/>
    <w:rsid w:val="00F107B6"/>
    <w:rsid w:val="00F12C92"/>
    <w:rsid w:val="00F12F5F"/>
    <w:rsid w:val="00F13020"/>
    <w:rsid w:val="00F1327A"/>
    <w:rsid w:val="00F156DE"/>
    <w:rsid w:val="00F16774"/>
    <w:rsid w:val="00F224F8"/>
    <w:rsid w:val="00F22855"/>
    <w:rsid w:val="00F22E8B"/>
    <w:rsid w:val="00F26B89"/>
    <w:rsid w:val="00F26C00"/>
    <w:rsid w:val="00F2754D"/>
    <w:rsid w:val="00F3003A"/>
    <w:rsid w:val="00F331CF"/>
    <w:rsid w:val="00F334A9"/>
    <w:rsid w:val="00F33CFE"/>
    <w:rsid w:val="00F40CE2"/>
    <w:rsid w:val="00F40EC6"/>
    <w:rsid w:val="00F41A0D"/>
    <w:rsid w:val="00F43618"/>
    <w:rsid w:val="00F44457"/>
    <w:rsid w:val="00F4482C"/>
    <w:rsid w:val="00F44FB8"/>
    <w:rsid w:val="00F45246"/>
    <w:rsid w:val="00F453D3"/>
    <w:rsid w:val="00F459FA"/>
    <w:rsid w:val="00F464CF"/>
    <w:rsid w:val="00F47346"/>
    <w:rsid w:val="00F477EF"/>
    <w:rsid w:val="00F50A6A"/>
    <w:rsid w:val="00F5173C"/>
    <w:rsid w:val="00F53E99"/>
    <w:rsid w:val="00F54FFC"/>
    <w:rsid w:val="00F55931"/>
    <w:rsid w:val="00F6194D"/>
    <w:rsid w:val="00F61952"/>
    <w:rsid w:val="00F62278"/>
    <w:rsid w:val="00F6279B"/>
    <w:rsid w:val="00F65972"/>
    <w:rsid w:val="00F6598D"/>
    <w:rsid w:val="00F65A6F"/>
    <w:rsid w:val="00F71311"/>
    <w:rsid w:val="00F723F6"/>
    <w:rsid w:val="00F7260C"/>
    <w:rsid w:val="00F72943"/>
    <w:rsid w:val="00F72E25"/>
    <w:rsid w:val="00F74131"/>
    <w:rsid w:val="00F7487A"/>
    <w:rsid w:val="00F75838"/>
    <w:rsid w:val="00F7620C"/>
    <w:rsid w:val="00F7693A"/>
    <w:rsid w:val="00F76A27"/>
    <w:rsid w:val="00F80F24"/>
    <w:rsid w:val="00F87946"/>
    <w:rsid w:val="00F87CE5"/>
    <w:rsid w:val="00F909A8"/>
    <w:rsid w:val="00F90C87"/>
    <w:rsid w:val="00F90FD1"/>
    <w:rsid w:val="00F918C8"/>
    <w:rsid w:val="00F937FA"/>
    <w:rsid w:val="00F95917"/>
    <w:rsid w:val="00F967F9"/>
    <w:rsid w:val="00FA0EA5"/>
    <w:rsid w:val="00FA1EF9"/>
    <w:rsid w:val="00FA2E27"/>
    <w:rsid w:val="00FA4169"/>
    <w:rsid w:val="00FA51E6"/>
    <w:rsid w:val="00FA6869"/>
    <w:rsid w:val="00FA70FB"/>
    <w:rsid w:val="00FA733B"/>
    <w:rsid w:val="00FA7B42"/>
    <w:rsid w:val="00FA7B7D"/>
    <w:rsid w:val="00FA7C52"/>
    <w:rsid w:val="00FA7CB1"/>
    <w:rsid w:val="00FB058D"/>
    <w:rsid w:val="00FB07F2"/>
    <w:rsid w:val="00FB0AAC"/>
    <w:rsid w:val="00FB3830"/>
    <w:rsid w:val="00FB4D52"/>
    <w:rsid w:val="00FB52C0"/>
    <w:rsid w:val="00FB7061"/>
    <w:rsid w:val="00FB7B16"/>
    <w:rsid w:val="00FB7D90"/>
    <w:rsid w:val="00FC10F6"/>
    <w:rsid w:val="00FC1EDF"/>
    <w:rsid w:val="00FC2EFD"/>
    <w:rsid w:val="00FC32A3"/>
    <w:rsid w:val="00FC379D"/>
    <w:rsid w:val="00FC3A09"/>
    <w:rsid w:val="00FC5851"/>
    <w:rsid w:val="00FC5FD1"/>
    <w:rsid w:val="00FC6A89"/>
    <w:rsid w:val="00FC6AE5"/>
    <w:rsid w:val="00FC6DFC"/>
    <w:rsid w:val="00FD0FB5"/>
    <w:rsid w:val="00FD242A"/>
    <w:rsid w:val="00FD3A0D"/>
    <w:rsid w:val="00FD466B"/>
    <w:rsid w:val="00FD4C2E"/>
    <w:rsid w:val="00FD4DC6"/>
    <w:rsid w:val="00FD5626"/>
    <w:rsid w:val="00FD6B13"/>
    <w:rsid w:val="00FD7E09"/>
    <w:rsid w:val="00FD7E79"/>
    <w:rsid w:val="00FE05A5"/>
    <w:rsid w:val="00FE14CE"/>
    <w:rsid w:val="00FE3045"/>
    <w:rsid w:val="00FE4A51"/>
    <w:rsid w:val="00FE4CF6"/>
    <w:rsid w:val="00FE4D2D"/>
    <w:rsid w:val="00FE5BEB"/>
    <w:rsid w:val="00FE70A6"/>
    <w:rsid w:val="00FE774F"/>
    <w:rsid w:val="00FE7E9E"/>
    <w:rsid w:val="00FE7F7F"/>
    <w:rsid w:val="00FF01E9"/>
    <w:rsid w:val="00FF07EF"/>
    <w:rsid w:val="00FF0B2D"/>
    <w:rsid w:val="00FF10A4"/>
    <w:rsid w:val="00FF17B4"/>
    <w:rsid w:val="00FF4E74"/>
    <w:rsid w:val="00FF5193"/>
    <w:rsid w:val="00FF53A1"/>
    <w:rsid w:val="00FF6E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F6A2E"/>
  <w15:chartTrackingRefBased/>
  <w15:docId w15:val="{9960B574-C857-4139-B98F-96E90E4E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02BB"/>
    <w:pPr>
      <w:spacing w:after="0" w:line="240" w:lineRule="atLeast"/>
    </w:pPr>
  </w:style>
  <w:style w:type="paragraph" w:styleId="Kop1">
    <w:name w:val="heading 1"/>
    <w:basedOn w:val="Standaard"/>
    <w:next w:val="06Bodytekst"/>
    <w:link w:val="Kop1Char"/>
    <w:uiPriority w:val="9"/>
    <w:semiHidden/>
    <w:qFormat/>
    <w:rsid w:val="00FF01E9"/>
    <w:pPr>
      <w:keepNext/>
      <w:keepLines/>
      <w:spacing w:after="480" w:line="480" w:lineRule="atLeast"/>
      <w:outlineLvl w:val="0"/>
    </w:pPr>
    <w:rPr>
      <w:rFonts w:asciiTheme="majorHAnsi" w:eastAsiaTheme="majorEastAsia" w:hAnsiTheme="majorHAnsi" w:cstheme="majorBidi"/>
      <w:b/>
      <w:color w:val="3F3F3E" w:themeColor="text2"/>
      <w:sz w:val="36"/>
      <w:szCs w:val="32"/>
    </w:rPr>
  </w:style>
  <w:style w:type="paragraph" w:styleId="Kop2">
    <w:name w:val="heading 2"/>
    <w:basedOn w:val="Standaard"/>
    <w:next w:val="06Bodytekst"/>
    <w:link w:val="Kop2Char"/>
    <w:qFormat/>
    <w:rsid w:val="00872815"/>
    <w:pPr>
      <w:keepNext/>
      <w:keepLines/>
      <w:spacing w:after="260" w:line="360" w:lineRule="exact"/>
      <w:outlineLvl w:val="1"/>
    </w:pPr>
    <w:rPr>
      <w:rFonts w:asciiTheme="majorHAnsi" w:eastAsiaTheme="majorEastAsia" w:hAnsiTheme="majorHAnsi" w:cstheme="majorBidi"/>
      <w:color w:val="000000" w:themeColor="text1"/>
      <w:sz w:val="26"/>
      <w:szCs w:val="26"/>
    </w:rPr>
  </w:style>
  <w:style w:type="paragraph" w:styleId="Kop3">
    <w:name w:val="heading 3"/>
    <w:basedOn w:val="Standaard"/>
    <w:next w:val="06Bodytekst"/>
    <w:link w:val="Kop3Char"/>
    <w:qFormat/>
    <w:rsid w:val="00B12C93"/>
    <w:pPr>
      <w:keepNext/>
      <w:keepLines/>
      <w:spacing w:after="40"/>
      <w:outlineLvl w:val="2"/>
    </w:pPr>
    <w:rPr>
      <w:rFonts w:asciiTheme="majorHAnsi" w:eastAsiaTheme="majorEastAsia" w:hAnsiTheme="majorHAnsi" w:cstheme="majorBidi"/>
      <w:b/>
      <w:color w:val="000000" w:themeColor="text1"/>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6Bodytekst">
    <w:name w:val="06_Bodytekst"/>
    <w:basedOn w:val="Standaard"/>
    <w:qFormat/>
    <w:rsid w:val="009A0416"/>
    <w:pPr>
      <w:tabs>
        <w:tab w:val="left" w:pos="567"/>
        <w:tab w:val="left" w:pos="1134"/>
      </w:tabs>
      <w:spacing w:line="250" w:lineRule="atLeast"/>
    </w:pPr>
    <w:rPr>
      <w:color w:val="000000" w:themeColor="text1"/>
      <w:sz w:val="18"/>
    </w:rPr>
  </w:style>
  <w:style w:type="paragraph" w:customStyle="1" w:styleId="07OpsommingN1Bullet">
    <w:name w:val="07_Opsomming N1 Bullet"/>
    <w:basedOn w:val="06Bodytekst"/>
    <w:qFormat/>
    <w:rsid w:val="009A0416"/>
    <w:pPr>
      <w:numPr>
        <w:numId w:val="2"/>
      </w:numPr>
      <w:tabs>
        <w:tab w:val="clear" w:pos="284"/>
      </w:tabs>
      <w:ind w:left="567" w:hanging="567"/>
    </w:pPr>
  </w:style>
  <w:style w:type="paragraph" w:customStyle="1" w:styleId="09BodytekstCursief">
    <w:name w:val="09_Bodytekst Cursief"/>
    <w:basedOn w:val="06Bodytekst"/>
    <w:next w:val="06Bodytekst"/>
    <w:qFormat/>
    <w:rsid w:val="0040356B"/>
    <w:rPr>
      <w:i/>
    </w:rPr>
  </w:style>
  <w:style w:type="paragraph" w:customStyle="1" w:styleId="12Subtitel">
    <w:name w:val="12_Subtitel"/>
    <w:basedOn w:val="Standaard"/>
    <w:next w:val="06Bodytekst"/>
    <w:qFormat/>
    <w:rsid w:val="009A0416"/>
    <w:pPr>
      <w:spacing w:line="520" w:lineRule="exact"/>
    </w:pPr>
    <w:rPr>
      <w:color w:val="000000" w:themeColor="text1"/>
      <w:sz w:val="42"/>
    </w:rPr>
  </w:style>
  <w:style w:type="paragraph" w:customStyle="1" w:styleId="10Bijschrift">
    <w:name w:val="10_Bijschrift"/>
    <w:basedOn w:val="06Bodytekst"/>
    <w:next w:val="06Bodytekst"/>
    <w:qFormat/>
    <w:rsid w:val="009A0416"/>
    <w:pPr>
      <w:spacing w:line="200" w:lineRule="exact"/>
    </w:pPr>
    <w:rPr>
      <w:i/>
      <w:sz w:val="14"/>
    </w:rPr>
  </w:style>
  <w:style w:type="paragraph" w:customStyle="1" w:styleId="11Titel">
    <w:name w:val="11_Titel"/>
    <w:basedOn w:val="Standaard"/>
    <w:next w:val="06Bodytekst"/>
    <w:qFormat/>
    <w:rsid w:val="009A0416"/>
    <w:pPr>
      <w:spacing w:line="880" w:lineRule="exact"/>
    </w:pPr>
    <w:rPr>
      <w:color w:val="000000" w:themeColor="text1"/>
      <w:sz w:val="72"/>
    </w:rPr>
  </w:style>
  <w:style w:type="paragraph" w:customStyle="1" w:styleId="15TabelBodytekstLinks">
    <w:name w:val="15_Tabel Bodytekst Links"/>
    <w:basedOn w:val="Standaard"/>
    <w:qFormat/>
    <w:rsid w:val="00786074"/>
    <w:pPr>
      <w:tabs>
        <w:tab w:val="left" w:pos="284"/>
        <w:tab w:val="left" w:pos="567"/>
      </w:tabs>
      <w:spacing w:line="220" w:lineRule="exact"/>
    </w:pPr>
    <w:rPr>
      <w:noProof/>
      <w:sz w:val="18"/>
    </w:rPr>
  </w:style>
  <w:style w:type="paragraph" w:customStyle="1" w:styleId="14TabelKop">
    <w:name w:val="14_Tabel Kop"/>
    <w:basedOn w:val="15TabelBodytekstLinks"/>
    <w:next w:val="15TabelBodytekstLinks"/>
    <w:qFormat/>
    <w:rsid w:val="008C1902"/>
    <w:pPr>
      <w:spacing w:after="80"/>
    </w:pPr>
    <w:rPr>
      <w:b/>
      <w:color w:val="000000" w:themeColor="text1"/>
    </w:rPr>
  </w:style>
  <w:style w:type="paragraph" w:customStyle="1" w:styleId="16TabelBodytekstRechts">
    <w:name w:val="16_Tabel Bodytekst Rechts"/>
    <w:basedOn w:val="15TabelBodytekstLinks"/>
    <w:next w:val="15TabelBodytekstLinks"/>
    <w:qFormat/>
    <w:rsid w:val="00FD242A"/>
    <w:pPr>
      <w:jc w:val="right"/>
    </w:pPr>
  </w:style>
  <w:style w:type="paragraph" w:customStyle="1" w:styleId="NoteLevel81">
    <w:name w:val="Note Level 81"/>
    <w:basedOn w:val="Standaard"/>
    <w:uiPriority w:val="99"/>
    <w:semiHidden/>
    <w:rsid w:val="00666F9B"/>
    <w:pPr>
      <w:keepNext/>
      <w:numPr>
        <w:ilvl w:val="7"/>
        <w:numId w:val="6"/>
      </w:numPr>
      <w:tabs>
        <w:tab w:val="clear" w:pos="5040"/>
        <w:tab w:val="num" w:pos="360"/>
      </w:tabs>
      <w:ind w:left="0" w:firstLine="0"/>
      <w:contextualSpacing/>
      <w:outlineLvl w:val="7"/>
    </w:pPr>
    <w:rPr>
      <w:rFonts w:ascii="Verdana" w:hAnsi="Verdana"/>
    </w:rPr>
  </w:style>
  <w:style w:type="paragraph" w:customStyle="1" w:styleId="13Paginanummer">
    <w:name w:val="13_Paginanummer"/>
    <w:basedOn w:val="06Bodytekst"/>
    <w:qFormat/>
    <w:rsid w:val="009A0416"/>
    <w:rPr>
      <w:b/>
    </w:rPr>
  </w:style>
  <w:style w:type="character" w:customStyle="1" w:styleId="Kop1Char">
    <w:name w:val="Kop 1 Char"/>
    <w:basedOn w:val="Standaardalinea-lettertype"/>
    <w:link w:val="Kop1"/>
    <w:uiPriority w:val="9"/>
    <w:semiHidden/>
    <w:rsid w:val="006102BB"/>
    <w:rPr>
      <w:rFonts w:asciiTheme="majorHAnsi" w:eastAsiaTheme="majorEastAsia" w:hAnsiTheme="majorHAnsi" w:cstheme="majorBidi"/>
      <w:b/>
      <w:color w:val="3F3F3E" w:themeColor="text2"/>
      <w:sz w:val="36"/>
      <w:szCs w:val="32"/>
    </w:rPr>
  </w:style>
  <w:style w:type="character" w:customStyle="1" w:styleId="Kop2Char">
    <w:name w:val="Kop 2 Char"/>
    <w:basedOn w:val="Standaardalinea-lettertype"/>
    <w:link w:val="Kop2"/>
    <w:rsid w:val="006102BB"/>
    <w:rPr>
      <w:rFonts w:asciiTheme="majorHAnsi" w:eastAsiaTheme="majorEastAsia" w:hAnsiTheme="majorHAnsi" w:cstheme="majorBidi"/>
      <w:color w:val="000000" w:themeColor="text1"/>
      <w:sz w:val="26"/>
      <w:szCs w:val="26"/>
    </w:rPr>
  </w:style>
  <w:style w:type="paragraph" w:customStyle="1" w:styleId="01HoofdstukTitel">
    <w:name w:val="01_Hoofdstuk_Titel"/>
    <w:basedOn w:val="Kop1"/>
    <w:next w:val="06Bodytekst"/>
    <w:qFormat/>
    <w:rsid w:val="009A0416"/>
    <w:pPr>
      <w:numPr>
        <w:numId w:val="8"/>
      </w:numPr>
      <w:tabs>
        <w:tab w:val="clear" w:pos="2693"/>
        <w:tab w:val="num" w:pos="567"/>
      </w:tabs>
      <w:spacing w:after="760" w:line="580" w:lineRule="exact"/>
      <w:ind w:left="567"/>
    </w:pPr>
    <w:rPr>
      <w:b w:val="0"/>
      <w:color w:val="000000" w:themeColor="text1"/>
      <w:sz w:val="54"/>
    </w:rPr>
  </w:style>
  <w:style w:type="paragraph" w:customStyle="1" w:styleId="02Paragraafkop">
    <w:name w:val="02_Paragraafkop"/>
    <w:basedOn w:val="Kop2"/>
    <w:next w:val="06Bodytekst"/>
    <w:qFormat/>
    <w:rsid w:val="00F45246"/>
    <w:pPr>
      <w:numPr>
        <w:ilvl w:val="1"/>
        <w:numId w:val="8"/>
      </w:numPr>
    </w:pPr>
  </w:style>
  <w:style w:type="character" w:customStyle="1" w:styleId="Kop3Char">
    <w:name w:val="Kop 3 Char"/>
    <w:basedOn w:val="Standaardalinea-lettertype"/>
    <w:link w:val="Kop3"/>
    <w:uiPriority w:val="9"/>
    <w:semiHidden/>
    <w:rsid w:val="006102BB"/>
    <w:rPr>
      <w:rFonts w:asciiTheme="majorHAnsi" w:eastAsiaTheme="majorEastAsia" w:hAnsiTheme="majorHAnsi" w:cstheme="majorBidi"/>
      <w:b/>
      <w:color w:val="000000" w:themeColor="text1"/>
      <w:sz w:val="24"/>
      <w:szCs w:val="24"/>
    </w:rPr>
  </w:style>
  <w:style w:type="paragraph" w:customStyle="1" w:styleId="03Alineakop">
    <w:name w:val="03_Alineakop"/>
    <w:basedOn w:val="Kop3"/>
    <w:next w:val="06Bodytekst"/>
    <w:qFormat/>
    <w:rsid w:val="00F45246"/>
    <w:pPr>
      <w:numPr>
        <w:ilvl w:val="2"/>
        <w:numId w:val="8"/>
      </w:numPr>
      <w:spacing w:after="0" w:line="250" w:lineRule="atLeast"/>
    </w:pPr>
    <w:rPr>
      <w:sz w:val="18"/>
    </w:rPr>
  </w:style>
  <w:style w:type="paragraph" w:customStyle="1" w:styleId="04Tussenkop">
    <w:name w:val="04_Tussenkop"/>
    <w:basedOn w:val="06Bodytekst"/>
    <w:next w:val="06Bodytekst"/>
    <w:qFormat/>
    <w:rsid w:val="009A0416"/>
    <w:pPr>
      <w:ind w:left="567"/>
    </w:pPr>
    <w:rPr>
      <w:b/>
    </w:rPr>
  </w:style>
  <w:style w:type="paragraph" w:customStyle="1" w:styleId="05Inleiding">
    <w:name w:val="05_Inleiding"/>
    <w:basedOn w:val="06Bodytekst"/>
    <w:next w:val="06Bodytekst"/>
    <w:qFormat/>
    <w:rsid w:val="009A0416"/>
    <w:pPr>
      <w:spacing w:line="360" w:lineRule="exact"/>
    </w:pPr>
    <w:rPr>
      <w:sz w:val="26"/>
      <w:szCs w:val="24"/>
    </w:rPr>
  </w:style>
  <w:style w:type="character" w:styleId="Hyperlink">
    <w:name w:val="Hyperlink"/>
    <w:basedOn w:val="Standaardalinea-lettertype"/>
    <w:uiPriority w:val="99"/>
    <w:rsid w:val="004908D8"/>
    <w:rPr>
      <w:color w:val="0083FF" w:themeColor="accent1"/>
      <w:u w:val="single"/>
    </w:rPr>
  </w:style>
  <w:style w:type="character" w:styleId="GevolgdeHyperlink">
    <w:name w:val="FollowedHyperlink"/>
    <w:basedOn w:val="Standaardalinea-lettertype"/>
    <w:uiPriority w:val="99"/>
    <w:semiHidden/>
    <w:rsid w:val="00A131DA"/>
    <w:rPr>
      <w:color w:val="000000" w:themeColor="text1"/>
      <w:u w:val="none"/>
    </w:rPr>
  </w:style>
  <w:style w:type="paragraph" w:customStyle="1" w:styleId="07NummeringN1Cijfer">
    <w:name w:val="07_Nummering N1 Cijfer"/>
    <w:basedOn w:val="06Bodytekst"/>
    <w:next w:val="06Bodytekst"/>
    <w:qFormat/>
    <w:rsid w:val="00872815"/>
    <w:pPr>
      <w:numPr>
        <w:numId w:val="4"/>
      </w:numPr>
      <w:tabs>
        <w:tab w:val="clear" w:pos="567"/>
      </w:tabs>
    </w:pPr>
    <w:rPr>
      <w:szCs w:val="24"/>
    </w:rPr>
  </w:style>
  <w:style w:type="paragraph" w:customStyle="1" w:styleId="08NummeringN2Letter">
    <w:name w:val="08_Nummering N2 Letter"/>
    <w:basedOn w:val="06Bodytekst"/>
    <w:next w:val="06Bodytekst"/>
    <w:qFormat/>
    <w:rsid w:val="00A40653"/>
    <w:pPr>
      <w:numPr>
        <w:numId w:val="5"/>
      </w:numPr>
      <w:tabs>
        <w:tab w:val="clear" w:pos="567"/>
      </w:tabs>
    </w:pPr>
    <w:rPr>
      <w:szCs w:val="24"/>
    </w:rPr>
  </w:style>
  <w:style w:type="paragraph" w:customStyle="1" w:styleId="08OpsommingN2Streep">
    <w:name w:val="08_Opsomming N2 Streep"/>
    <w:basedOn w:val="06Bodytekst"/>
    <w:next w:val="06Bodytekst"/>
    <w:qFormat/>
    <w:rsid w:val="009A0416"/>
    <w:pPr>
      <w:numPr>
        <w:numId w:val="3"/>
      </w:numPr>
      <w:ind w:left="1134" w:hanging="567"/>
    </w:pPr>
    <w:rPr>
      <w:szCs w:val="24"/>
    </w:rPr>
  </w:style>
  <w:style w:type="paragraph" w:styleId="Koptekst">
    <w:name w:val="header"/>
    <w:basedOn w:val="Standaard"/>
    <w:link w:val="KoptekstChar"/>
    <w:uiPriority w:val="99"/>
    <w:semiHidden/>
    <w:rsid w:val="00967934"/>
    <w:pPr>
      <w:tabs>
        <w:tab w:val="center" w:pos="4536"/>
        <w:tab w:val="right" w:pos="9072"/>
      </w:tabs>
      <w:spacing w:line="240" w:lineRule="auto"/>
      <w:ind w:left="567"/>
    </w:pPr>
  </w:style>
  <w:style w:type="character" w:customStyle="1" w:styleId="KoptekstChar">
    <w:name w:val="Koptekst Char"/>
    <w:basedOn w:val="Standaardalinea-lettertype"/>
    <w:link w:val="Koptekst"/>
    <w:uiPriority w:val="99"/>
    <w:semiHidden/>
    <w:rsid w:val="00967934"/>
  </w:style>
  <w:style w:type="paragraph" w:styleId="Voettekst">
    <w:name w:val="footer"/>
    <w:basedOn w:val="Standaard"/>
    <w:link w:val="VoettekstChar"/>
    <w:uiPriority w:val="99"/>
    <w:semiHidden/>
    <w:rsid w:val="00E71E71"/>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E71E71"/>
  </w:style>
  <w:style w:type="table" w:styleId="Tabelraster">
    <w:name w:val="Table Grid"/>
    <w:basedOn w:val="Standaardtabel"/>
    <w:uiPriority w:val="39"/>
    <w:rsid w:val="00BF6146"/>
    <w:pPr>
      <w:spacing w:after="0" w:line="240" w:lineRule="auto"/>
    </w:pPr>
    <w:rPr>
      <w:sz w:val="16"/>
    </w:rPr>
    <w:tblPr>
      <w:tblCellMar>
        <w:top w:w="57" w:type="dxa"/>
        <w:left w:w="0" w:type="dxa"/>
        <w:bottom w:w="57" w:type="dxa"/>
        <w:right w:w="0" w:type="dxa"/>
      </w:tblCellMar>
    </w:tblPr>
    <w:tblStylePr w:type="firstRow">
      <w:rPr>
        <w:rFonts w:asciiTheme="majorHAnsi" w:hAnsiTheme="majorHAnsi"/>
        <w:b w:val="0"/>
        <w:i/>
        <w:sz w:val="16"/>
      </w:rPr>
      <w:tblPr/>
      <w:tcPr>
        <w:tcBorders>
          <w:bottom w:val="single" w:sz="4" w:space="0" w:color="auto"/>
          <w:insideH w:val="nil"/>
        </w:tcBorders>
      </w:tcPr>
    </w:tblStylePr>
    <w:tblStylePr w:type="lastRow">
      <w:rPr>
        <w:rFonts w:asciiTheme="minorHAnsi" w:hAnsiTheme="minorHAnsi"/>
        <w:b/>
        <w:sz w:val="16"/>
      </w:rPr>
      <w:tblPr/>
      <w:tcPr>
        <w:tcBorders>
          <w:top w:val="single" w:sz="4" w:space="0" w:color="auto"/>
        </w:tcBorders>
      </w:tcPr>
    </w:tblStylePr>
  </w:style>
  <w:style w:type="paragraph" w:styleId="Voetnoottekst">
    <w:name w:val="footnote text"/>
    <w:basedOn w:val="Standaard"/>
    <w:link w:val="VoetnoottekstChar"/>
    <w:uiPriority w:val="99"/>
    <w:unhideWhenUsed/>
    <w:rsid w:val="00BF6146"/>
    <w:pPr>
      <w:tabs>
        <w:tab w:val="left" w:pos="284"/>
      </w:tabs>
      <w:spacing w:line="170" w:lineRule="exact"/>
      <w:ind w:left="284" w:hanging="284"/>
    </w:pPr>
    <w:rPr>
      <w:sz w:val="14"/>
      <w:szCs w:val="24"/>
    </w:rPr>
  </w:style>
  <w:style w:type="character" w:customStyle="1" w:styleId="VoetnoottekstChar">
    <w:name w:val="Voetnoottekst Char"/>
    <w:basedOn w:val="Standaardalinea-lettertype"/>
    <w:link w:val="Voetnoottekst"/>
    <w:uiPriority w:val="99"/>
    <w:rsid w:val="00BF6146"/>
    <w:rPr>
      <w:sz w:val="14"/>
      <w:szCs w:val="24"/>
    </w:rPr>
  </w:style>
  <w:style w:type="character" w:styleId="Voetnootmarkering">
    <w:name w:val="footnote reference"/>
    <w:basedOn w:val="Standaardalinea-lettertype"/>
    <w:uiPriority w:val="99"/>
    <w:unhideWhenUsed/>
    <w:rsid w:val="004E4F03"/>
    <w:rPr>
      <w:vertAlign w:val="superscript"/>
    </w:rPr>
  </w:style>
  <w:style w:type="table" w:styleId="Tabelrasterlicht">
    <w:name w:val="Grid Table Light"/>
    <w:basedOn w:val="Standaardtabel"/>
    <w:uiPriority w:val="40"/>
    <w:rsid w:val="00202F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pvaninhoudsopgave">
    <w:name w:val="TOC Heading"/>
    <w:basedOn w:val="06Bodytekst"/>
    <w:next w:val="Standaard"/>
    <w:uiPriority w:val="39"/>
    <w:unhideWhenUsed/>
    <w:qFormat/>
    <w:rsid w:val="008B3774"/>
    <w:pPr>
      <w:pageBreakBefore/>
      <w:spacing w:after="1250" w:line="250" w:lineRule="exact"/>
    </w:pPr>
    <w:rPr>
      <w:bCs/>
      <w:sz w:val="28"/>
      <w:szCs w:val="28"/>
    </w:rPr>
  </w:style>
  <w:style w:type="paragraph" w:styleId="Inhopg2">
    <w:name w:val="toc 2"/>
    <w:basedOn w:val="Standaard"/>
    <w:next w:val="Standaard"/>
    <w:autoRedefine/>
    <w:uiPriority w:val="39"/>
    <w:rsid w:val="00AE741D"/>
    <w:pPr>
      <w:tabs>
        <w:tab w:val="left" w:pos="567"/>
        <w:tab w:val="left" w:pos="1134"/>
        <w:tab w:val="right" w:pos="8108"/>
      </w:tabs>
      <w:spacing w:line="260" w:lineRule="exact"/>
      <w:ind w:left="1134" w:hanging="567"/>
    </w:pPr>
    <w:rPr>
      <w:rFonts w:cstheme="minorHAnsi"/>
      <w:bCs/>
      <w:sz w:val="18"/>
    </w:rPr>
  </w:style>
  <w:style w:type="paragraph" w:styleId="Inhopg3">
    <w:name w:val="toc 3"/>
    <w:basedOn w:val="Standaard"/>
    <w:next w:val="Standaard"/>
    <w:autoRedefine/>
    <w:uiPriority w:val="39"/>
    <w:rsid w:val="00B46970"/>
    <w:pPr>
      <w:spacing w:line="260" w:lineRule="exact"/>
      <w:ind w:left="1134" w:hanging="567"/>
    </w:pPr>
    <w:rPr>
      <w:rFonts w:cstheme="minorHAnsi"/>
      <w:sz w:val="18"/>
    </w:rPr>
  </w:style>
  <w:style w:type="paragraph" w:styleId="Inhopg1">
    <w:name w:val="toc 1"/>
    <w:basedOn w:val="Standaard"/>
    <w:next w:val="Standaard"/>
    <w:autoRedefine/>
    <w:uiPriority w:val="39"/>
    <w:rsid w:val="00B46970"/>
    <w:pPr>
      <w:tabs>
        <w:tab w:val="left" w:pos="567"/>
        <w:tab w:val="right" w:pos="8108"/>
      </w:tabs>
      <w:spacing w:before="260" w:line="260" w:lineRule="exact"/>
      <w:ind w:left="567" w:hanging="567"/>
    </w:pPr>
    <w:rPr>
      <w:rFonts w:cstheme="minorHAnsi"/>
      <w:bCs/>
      <w:sz w:val="18"/>
      <w:szCs w:val="24"/>
    </w:rPr>
  </w:style>
  <w:style w:type="paragraph" w:styleId="Inhopg4">
    <w:name w:val="toc 4"/>
    <w:basedOn w:val="Standaard"/>
    <w:next w:val="Standaard"/>
    <w:autoRedefine/>
    <w:uiPriority w:val="39"/>
    <w:semiHidden/>
    <w:rsid w:val="00146F72"/>
    <w:pPr>
      <w:ind w:left="660"/>
    </w:pPr>
    <w:rPr>
      <w:rFonts w:cstheme="minorHAnsi"/>
      <w:sz w:val="20"/>
      <w:szCs w:val="20"/>
    </w:rPr>
  </w:style>
  <w:style w:type="paragraph" w:styleId="Inhopg5">
    <w:name w:val="toc 5"/>
    <w:basedOn w:val="Standaard"/>
    <w:next w:val="Standaard"/>
    <w:autoRedefine/>
    <w:uiPriority w:val="39"/>
    <w:semiHidden/>
    <w:rsid w:val="00146F72"/>
    <w:pPr>
      <w:ind w:left="880"/>
    </w:pPr>
    <w:rPr>
      <w:rFonts w:cstheme="minorHAnsi"/>
      <w:sz w:val="20"/>
      <w:szCs w:val="20"/>
    </w:rPr>
  </w:style>
  <w:style w:type="paragraph" w:styleId="Inhopg6">
    <w:name w:val="toc 6"/>
    <w:basedOn w:val="Standaard"/>
    <w:next w:val="Standaard"/>
    <w:autoRedefine/>
    <w:uiPriority w:val="39"/>
    <w:semiHidden/>
    <w:rsid w:val="00146F72"/>
    <w:pPr>
      <w:ind w:left="1100"/>
    </w:pPr>
    <w:rPr>
      <w:rFonts w:cstheme="minorHAnsi"/>
      <w:sz w:val="20"/>
      <w:szCs w:val="20"/>
    </w:rPr>
  </w:style>
  <w:style w:type="paragraph" w:styleId="Inhopg7">
    <w:name w:val="toc 7"/>
    <w:basedOn w:val="Standaard"/>
    <w:next w:val="Standaard"/>
    <w:autoRedefine/>
    <w:uiPriority w:val="39"/>
    <w:semiHidden/>
    <w:rsid w:val="00146F72"/>
    <w:pPr>
      <w:ind w:left="1320"/>
    </w:pPr>
    <w:rPr>
      <w:rFonts w:cstheme="minorHAnsi"/>
      <w:sz w:val="20"/>
      <w:szCs w:val="20"/>
    </w:rPr>
  </w:style>
  <w:style w:type="paragraph" w:styleId="Inhopg8">
    <w:name w:val="toc 8"/>
    <w:basedOn w:val="Standaard"/>
    <w:next w:val="Standaard"/>
    <w:autoRedefine/>
    <w:uiPriority w:val="39"/>
    <w:semiHidden/>
    <w:rsid w:val="00146F72"/>
    <w:pPr>
      <w:ind w:left="1540"/>
    </w:pPr>
    <w:rPr>
      <w:rFonts w:cstheme="minorHAnsi"/>
      <w:sz w:val="20"/>
      <w:szCs w:val="20"/>
    </w:rPr>
  </w:style>
  <w:style w:type="paragraph" w:styleId="Inhopg9">
    <w:name w:val="toc 9"/>
    <w:basedOn w:val="Standaard"/>
    <w:next w:val="Standaard"/>
    <w:autoRedefine/>
    <w:uiPriority w:val="39"/>
    <w:semiHidden/>
    <w:rsid w:val="00146F72"/>
    <w:pPr>
      <w:ind w:left="1760"/>
    </w:pPr>
    <w:rPr>
      <w:rFonts w:cstheme="minorHAnsi"/>
      <w:sz w:val="20"/>
      <w:szCs w:val="20"/>
    </w:rPr>
  </w:style>
  <w:style w:type="paragraph" w:customStyle="1" w:styleId="02ParagraafkopZN">
    <w:name w:val="02_Paragraafkop ZN"/>
    <w:basedOn w:val="Kop2"/>
    <w:next w:val="06Bodytekst"/>
    <w:qFormat/>
    <w:rsid w:val="00F45246"/>
    <w:pPr>
      <w:tabs>
        <w:tab w:val="left" w:pos="567"/>
      </w:tabs>
      <w:ind w:left="567"/>
    </w:pPr>
    <w:rPr>
      <w:noProof/>
    </w:rPr>
  </w:style>
  <w:style w:type="table" w:customStyle="1" w:styleId="02Tabel">
    <w:name w:val="02_Tabel"/>
    <w:basedOn w:val="Standaardtabel"/>
    <w:uiPriority w:val="99"/>
    <w:rsid w:val="00B629A5"/>
    <w:pPr>
      <w:spacing w:after="0" w:line="240" w:lineRule="auto"/>
    </w:pPr>
    <w:rPr>
      <w:sz w:val="18"/>
    </w:rPr>
    <w:tblPr>
      <w:tblStyleRowBandSize w:val="1"/>
      <w:tblStyleColBandSize w:val="1"/>
      <w:tblBorders>
        <w:bottom w:val="single" w:sz="4" w:space="0" w:color="000000" w:themeColor="text1"/>
        <w:insideH w:val="single" w:sz="4" w:space="0" w:color="000000" w:themeColor="text1"/>
        <w:insideV w:val="single" w:sz="4" w:space="0" w:color="000000" w:themeColor="text1"/>
      </w:tblBorders>
      <w:tblCellMar>
        <w:top w:w="113" w:type="dxa"/>
        <w:left w:w="57" w:type="dxa"/>
        <w:bottom w:w="113" w:type="dxa"/>
        <w:right w:w="57" w:type="dxa"/>
      </w:tblCellMar>
    </w:tblPr>
    <w:tblStylePr w:type="firstRow">
      <w:rPr>
        <w:rFonts w:asciiTheme="minorHAnsi" w:hAnsiTheme="minorHAnsi"/>
        <w:i/>
        <w:sz w:val="18"/>
      </w:rPr>
      <w:tblPr/>
      <w:tcPr>
        <w:tcBorders>
          <w:top w:val="nil"/>
          <w:left w:val="nil"/>
          <w:bottom w:val="single" w:sz="12" w:space="0" w:color="3F3F3E" w:themeColor="text2"/>
          <w:right w:val="nil"/>
          <w:insideH w:val="nil"/>
          <w:insideV w:val="nil"/>
          <w:tl2br w:val="nil"/>
          <w:tr2bl w:val="nil"/>
        </w:tcBorders>
      </w:tcPr>
    </w:tblStylePr>
    <w:tblStylePr w:type="lastRow">
      <w:rPr>
        <w:rFonts w:asciiTheme="minorHAnsi" w:hAnsiTheme="minorHAnsi"/>
        <w:sz w:val="18"/>
      </w:rPr>
    </w:tblStylePr>
    <w:tblStylePr w:type="firstCol">
      <w:rPr>
        <w:rFonts w:asciiTheme="minorHAnsi" w:hAnsiTheme="minorHAnsi"/>
        <w:sz w:val="18"/>
      </w:rPr>
    </w:tblStylePr>
    <w:tblStylePr w:type="lastCol">
      <w:rPr>
        <w:rFonts w:asciiTheme="minorHAnsi" w:hAnsiTheme="minorHAnsi"/>
        <w:sz w:val="18"/>
      </w:rPr>
    </w:tblStylePr>
    <w:tblStylePr w:type="band1Vert">
      <w:rPr>
        <w:rFonts w:asciiTheme="minorHAnsi" w:hAnsiTheme="minorHAnsi"/>
        <w:sz w:val="18"/>
      </w:rPr>
    </w:tblStylePr>
    <w:tblStylePr w:type="band2Vert">
      <w:rPr>
        <w:rFonts w:asciiTheme="minorHAnsi" w:hAnsiTheme="minorHAnsi"/>
        <w:sz w:val="18"/>
      </w:rPr>
    </w:tblStylePr>
    <w:tblStylePr w:type="band1Horz">
      <w:rPr>
        <w:rFonts w:asciiTheme="minorHAnsi" w:hAnsiTheme="minorHAnsi"/>
        <w:sz w:val="18"/>
      </w:rPr>
    </w:tblStylePr>
    <w:tblStylePr w:type="band2Horz">
      <w:rPr>
        <w:rFonts w:asciiTheme="minorHAnsi" w:hAnsiTheme="minorHAnsi"/>
        <w:sz w:val="18"/>
      </w:rPr>
    </w:tblStylePr>
    <w:tblStylePr w:type="neCell">
      <w:rPr>
        <w:rFonts w:asciiTheme="minorHAnsi" w:hAnsiTheme="minorHAnsi"/>
        <w:sz w:val="18"/>
      </w:rPr>
    </w:tblStylePr>
    <w:tblStylePr w:type="nwCell">
      <w:rPr>
        <w:rFonts w:asciiTheme="minorHAnsi" w:hAnsiTheme="minorHAnsi"/>
        <w:sz w:val="16"/>
      </w:rPr>
    </w:tblStylePr>
    <w:tblStylePr w:type="seCell">
      <w:rPr>
        <w:rFonts w:asciiTheme="minorHAnsi" w:hAnsiTheme="minorHAnsi"/>
        <w:sz w:val="18"/>
      </w:rPr>
      <w:tblPr/>
      <w:tcPr>
        <w:tcBorders>
          <w:insideH w:val="nil"/>
          <w:insideV w:val="nil"/>
        </w:tcBorders>
      </w:tcPr>
    </w:tblStylePr>
    <w:tblStylePr w:type="swCell">
      <w:rPr>
        <w:rFonts w:asciiTheme="minorHAnsi" w:hAnsiTheme="minorHAnsi"/>
        <w:sz w:val="18"/>
      </w:rPr>
    </w:tblStylePr>
  </w:style>
  <w:style w:type="table" w:customStyle="1" w:styleId="01TabelBlanco">
    <w:name w:val="01_Tabel Blanco"/>
    <w:basedOn w:val="Standaardtabel"/>
    <w:uiPriority w:val="99"/>
    <w:rsid w:val="00B629A5"/>
    <w:pPr>
      <w:spacing w:after="0" w:line="240" w:lineRule="auto"/>
    </w:pPr>
    <w:rPr>
      <w:sz w:val="18"/>
    </w:rPr>
    <w:tblPr>
      <w:tblStyleRowBandSize w:val="1"/>
      <w:tblStyleColBandSize w:val="1"/>
      <w:tblCellMar>
        <w:left w:w="0" w:type="dxa"/>
        <w:right w:w="0" w:type="dxa"/>
      </w:tblCellMar>
    </w:tblPr>
    <w:tblStylePr w:type="firstRow">
      <w:rPr>
        <w:rFonts w:asciiTheme="minorHAnsi" w:hAnsiTheme="minorHAnsi"/>
        <w:i w:val="0"/>
        <w:sz w:val="18"/>
      </w:rPr>
    </w:tblStylePr>
    <w:tblStylePr w:type="lastRow">
      <w:rPr>
        <w:rFonts w:asciiTheme="minorHAnsi" w:hAnsiTheme="minorHAnsi"/>
        <w:sz w:val="18"/>
      </w:rPr>
    </w:tblStylePr>
    <w:tblStylePr w:type="firstCol">
      <w:rPr>
        <w:rFonts w:asciiTheme="minorHAnsi" w:hAnsiTheme="minorHAnsi"/>
        <w:sz w:val="18"/>
      </w:rPr>
    </w:tblStylePr>
    <w:tblStylePr w:type="lastCol">
      <w:rPr>
        <w:rFonts w:asciiTheme="minorHAnsi" w:hAnsiTheme="minorHAnsi"/>
        <w:sz w:val="18"/>
      </w:rPr>
    </w:tblStylePr>
    <w:tblStylePr w:type="band1Vert">
      <w:rPr>
        <w:rFonts w:asciiTheme="minorHAnsi" w:hAnsiTheme="minorHAnsi"/>
        <w:sz w:val="18"/>
      </w:rPr>
    </w:tblStylePr>
    <w:tblStylePr w:type="band2Vert">
      <w:rPr>
        <w:rFonts w:asciiTheme="minorHAnsi" w:hAnsiTheme="minorHAnsi"/>
        <w:sz w:val="18"/>
      </w:rPr>
    </w:tblStylePr>
    <w:tblStylePr w:type="band1Horz">
      <w:rPr>
        <w:rFonts w:asciiTheme="minorHAnsi" w:hAnsiTheme="minorHAnsi"/>
        <w:sz w:val="18"/>
      </w:rPr>
    </w:tblStylePr>
    <w:tblStylePr w:type="band2Horz">
      <w:rPr>
        <w:rFonts w:asciiTheme="minorHAnsi" w:hAnsiTheme="minorHAnsi"/>
        <w:sz w:val="18"/>
      </w:rPr>
    </w:tblStylePr>
    <w:tblStylePr w:type="neCell">
      <w:rPr>
        <w:rFonts w:asciiTheme="minorHAnsi" w:hAnsiTheme="minorHAnsi"/>
        <w:sz w:val="18"/>
      </w:rPr>
    </w:tblStylePr>
    <w:tblStylePr w:type="nwCell">
      <w:rPr>
        <w:rFonts w:asciiTheme="minorHAnsi" w:hAnsiTheme="minorHAnsi"/>
        <w:sz w:val="18"/>
      </w:rPr>
    </w:tblStylePr>
    <w:tblStylePr w:type="seCell">
      <w:rPr>
        <w:rFonts w:asciiTheme="minorHAnsi" w:hAnsiTheme="minorHAnsi"/>
        <w:sz w:val="18"/>
      </w:rPr>
    </w:tblStylePr>
    <w:tblStylePr w:type="swCell">
      <w:rPr>
        <w:rFonts w:asciiTheme="minorHAnsi" w:hAnsiTheme="minorHAnsi"/>
        <w:sz w:val="18"/>
      </w:rPr>
    </w:tblStylePr>
  </w:style>
  <w:style w:type="paragraph" w:styleId="Bijschrift">
    <w:name w:val="caption"/>
    <w:basedOn w:val="Standaard"/>
    <w:next w:val="Standaard"/>
    <w:uiPriority w:val="35"/>
    <w:semiHidden/>
    <w:qFormat/>
    <w:rsid w:val="00834F85"/>
    <w:pPr>
      <w:spacing w:after="200" w:line="240" w:lineRule="auto"/>
    </w:pPr>
    <w:rPr>
      <w:i/>
      <w:iCs/>
      <w:color w:val="3F3F3E" w:themeColor="text2"/>
      <w:sz w:val="18"/>
      <w:szCs w:val="18"/>
    </w:rPr>
  </w:style>
  <w:style w:type="paragraph" w:styleId="Ballontekst">
    <w:name w:val="Balloon Text"/>
    <w:basedOn w:val="Standaard"/>
    <w:link w:val="BallontekstChar"/>
    <w:uiPriority w:val="99"/>
    <w:semiHidden/>
    <w:unhideWhenUsed/>
    <w:rsid w:val="00977F8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77F8C"/>
    <w:rPr>
      <w:rFonts w:ascii="Segoe UI" w:hAnsi="Segoe UI" w:cs="Segoe UI"/>
      <w:sz w:val="18"/>
      <w:szCs w:val="18"/>
    </w:rPr>
  </w:style>
  <w:style w:type="character" w:styleId="Verwijzingopmerking">
    <w:name w:val="annotation reference"/>
    <w:basedOn w:val="Standaardalinea-lettertype"/>
    <w:uiPriority w:val="99"/>
    <w:semiHidden/>
    <w:rsid w:val="00886D7F"/>
    <w:rPr>
      <w:sz w:val="16"/>
      <w:szCs w:val="16"/>
    </w:rPr>
  </w:style>
  <w:style w:type="paragraph" w:styleId="Tekstopmerking">
    <w:name w:val="annotation text"/>
    <w:basedOn w:val="Standaard"/>
    <w:link w:val="TekstopmerkingChar"/>
    <w:uiPriority w:val="99"/>
    <w:semiHidden/>
    <w:rsid w:val="00886D7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86D7F"/>
    <w:rPr>
      <w:sz w:val="20"/>
      <w:szCs w:val="20"/>
    </w:rPr>
  </w:style>
  <w:style w:type="paragraph" w:styleId="Onderwerpvanopmerking">
    <w:name w:val="annotation subject"/>
    <w:basedOn w:val="Tekstopmerking"/>
    <w:next w:val="Tekstopmerking"/>
    <w:link w:val="OnderwerpvanopmerkingChar"/>
    <w:uiPriority w:val="99"/>
    <w:semiHidden/>
    <w:rsid w:val="00E26DDD"/>
    <w:rPr>
      <w:b/>
      <w:bCs/>
    </w:rPr>
  </w:style>
  <w:style w:type="character" w:customStyle="1" w:styleId="OnderwerpvanopmerkingChar">
    <w:name w:val="Onderwerp van opmerking Char"/>
    <w:basedOn w:val="TekstopmerkingChar"/>
    <w:link w:val="Onderwerpvanopmerking"/>
    <w:uiPriority w:val="99"/>
    <w:semiHidden/>
    <w:rsid w:val="00E26DDD"/>
    <w:rPr>
      <w:b/>
      <w:bCs/>
      <w:sz w:val="20"/>
      <w:szCs w:val="20"/>
    </w:rPr>
  </w:style>
  <w:style w:type="paragraph" w:styleId="Revisie">
    <w:name w:val="Revision"/>
    <w:hidden/>
    <w:uiPriority w:val="99"/>
    <w:semiHidden/>
    <w:rsid w:val="007849D4"/>
    <w:pPr>
      <w:spacing w:after="0" w:line="240" w:lineRule="auto"/>
    </w:pPr>
  </w:style>
  <w:style w:type="character" w:styleId="Onopgelostemelding">
    <w:name w:val="Unresolved Mention"/>
    <w:basedOn w:val="Standaardalinea-lettertype"/>
    <w:uiPriority w:val="99"/>
    <w:semiHidden/>
    <w:unhideWhenUsed/>
    <w:rsid w:val="00AE7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4111">
      <w:bodyDiv w:val="1"/>
      <w:marLeft w:val="0"/>
      <w:marRight w:val="0"/>
      <w:marTop w:val="0"/>
      <w:marBottom w:val="0"/>
      <w:divBdr>
        <w:top w:val="none" w:sz="0" w:space="0" w:color="auto"/>
        <w:left w:val="none" w:sz="0" w:space="0" w:color="auto"/>
        <w:bottom w:val="none" w:sz="0" w:space="0" w:color="auto"/>
        <w:right w:val="none" w:sz="0" w:space="0" w:color="auto"/>
      </w:divBdr>
    </w:div>
    <w:div w:id="97334310">
      <w:bodyDiv w:val="1"/>
      <w:marLeft w:val="0"/>
      <w:marRight w:val="0"/>
      <w:marTop w:val="0"/>
      <w:marBottom w:val="0"/>
      <w:divBdr>
        <w:top w:val="none" w:sz="0" w:space="0" w:color="auto"/>
        <w:left w:val="none" w:sz="0" w:space="0" w:color="auto"/>
        <w:bottom w:val="none" w:sz="0" w:space="0" w:color="auto"/>
        <w:right w:val="none" w:sz="0" w:space="0" w:color="auto"/>
      </w:divBdr>
    </w:div>
    <w:div w:id="104228327">
      <w:bodyDiv w:val="1"/>
      <w:marLeft w:val="0"/>
      <w:marRight w:val="0"/>
      <w:marTop w:val="0"/>
      <w:marBottom w:val="0"/>
      <w:divBdr>
        <w:top w:val="none" w:sz="0" w:space="0" w:color="auto"/>
        <w:left w:val="none" w:sz="0" w:space="0" w:color="auto"/>
        <w:bottom w:val="none" w:sz="0" w:space="0" w:color="auto"/>
        <w:right w:val="none" w:sz="0" w:space="0" w:color="auto"/>
      </w:divBdr>
    </w:div>
    <w:div w:id="153035880">
      <w:bodyDiv w:val="1"/>
      <w:marLeft w:val="0"/>
      <w:marRight w:val="0"/>
      <w:marTop w:val="0"/>
      <w:marBottom w:val="0"/>
      <w:divBdr>
        <w:top w:val="none" w:sz="0" w:space="0" w:color="auto"/>
        <w:left w:val="none" w:sz="0" w:space="0" w:color="auto"/>
        <w:bottom w:val="none" w:sz="0" w:space="0" w:color="auto"/>
        <w:right w:val="none" w:sz="0" w:space="0" w:color="auto"/>
      </w:divBdr>
    </w:div>
    <w:div w:id="270943693">
      <w:bodyDiv w:val="1"/>
      <w:marLeft w:val="0"/>
      <w:marRight w:val="0"/>
      <w:marTop w:val="0"/>
      <w:marBottom w:val="0"/>
      <w:divBdr>
        <w:top w:val="none" w:sz="0" w:space="0" w:color="auto"/>
        <w:left w:val="none" w:sz="0" w:space="0" w:color="auto"/>
        <w:bottom w:val="none" w:sz="0" w:space="0" w:color="auto"/>
        <w:right w:val="none" w:sz="0" w:space="0" w:color="auto"/>
      </w:divBdr>
    </w:div>
    <w:div w:id="337196083">
      <w:bodyDiv w:val="1"/>
      <w:marLeft w:val="0"/>
      <w:marRight w:val="0"/>
      <w:marTop w:val="0"/>
      <w:marBottom w:val="0"/>
      <w:divBdr>
        <w:top w:val="none" w:sz="0" w:space="0" w:color="auto"/>
        <w:left w:val="none" w:sz="0" w:space="0" w:color="auto"/>
        <w:bottom w:val="none" w:sz="0" w:space="0" w:color="auto"/>
        <w:right w:val="none" w:sz="0" w:space="0" w:color="auto"/>
      </w:divBdr>
    </w:div>
    <w:div w:id="736054789">
      <w:bodyDiv w:val="1"/>
      <w:marLeft w:val="0"/>
      <w:marRight w:val="0"/>
      <w:marTop w:val="0"/>
      <w:marBottom w:val="0"/>
      <w:divBdr>
        <w:top w:val="none" w:sz="0" w:space="0" w:color="auto"/>
        <w:left w:val="none" w:sz="0" w:space="0" w:color="auto"/>
        <w:bottom w:val="none" w:sz="0" w:space="0" w:color="auto"/>
        <w:right w:val="none" w:sz="0" w:space="0" w:color="auto"/>
      </w:divBdr>
    </w:div>
    <w:div w:id="990674876">
      <w:bodyDiv w:val="1"/>
      <w:marLeft w:val="0"/>
      <w:marRight w:val="0"/>
      <w:marTop w:val="0"/>
      <w:marBottom w:val="0"/>
      <w:divBdr>
        <w:top w:val="none" w:sz="0" w:space="0" w:color="auto"/>
        <w:left w:val="none" w:sz="0" w:space="0" w:color="auto"/>
        <w:bottom w:val="none" w:sz="0" w:space="0" w:color="auto"/>
        <w:right w:val="none" w:sz="0" w:space="0" w:color="auto"/>
      </w:divBdr>
    </w:div>
    <w:div w:id="1220246583">
      <w:bodyDiv w:val="1"/>
      <w:marLeft w:val="0"/>
      <w:marRight w:val="0"/>
      <w:marTop w:val="0"/>
      <w:marBottom w:val="0"/>
      <w:divBdr>
        <w:top w:val="none" w:sz="0" w:space="0" w:color="auto"/>
        <w:left w:val="none" w:sz="0" w:space="0" w:color="auto"/>
        <w:bottom w:val="none" w:sz="0" w:space="0" w:color="auto"/>
        <w:right w:val="none" w:sz="0" w:space="0" w:color="auto"/>
      </w:divBdr>
    </w:div>
    <w:div w:id="1343507953">
      <w:bodyDiv w:val="1"/>
      <w:marLeft w:val="0"/>
      <w:marRight w:val="0"/>
      <w:marTop w:val="0"/>
      <w:marBottom w:val="0"/>
      <w:divBdr>
        <w:top w:val="none" w:sz="0" w:space="0" w:color="auto"/>
        <w:left w:val="none" w:sz="0" w:space="0" w:color="auto"/>
        <w:bottom w:val="none" w:sz="0" w:space="0" w:color="auto"/>
        <w:right w:val="none" w:sz="0" w:space="0" w:color="auto"/>
      </w:divBdr>
    </w:div>
    <w:div w:id="1442455585">
      <w:bodyDiv w:val="1"/>
      <w:marLeft w:val="0"/>
      <w:marRight w:val="0"/>
      <w:marTop w:val="0"/>
      <w:marBottom w:val="0"/>
      <w:divBdr>
        <w:top w:val="none" w:sz="0" w:space="0" w:color="auto"/>
        <w:left w:val="none" w:sz="0" w:space="0" w:color="auto"/>
        <w:bottom w:val="none" w:sz="0" w:space="0" w:color="auto"/>
        <w:right w:val="none" w:sz="0" w:space="0" w:color="auto"/>
      </w:divBdr>
    </w:div>
    <w:div w:id="1506166961">
      <w:bodyDiv w:val="1"/>
      <w:marLeft w:val="0"/>
      <w:marRight w:val="0"/>
      <w:marTop w:val="0"/>
      <w:marBottom w:val="0"/>
      <w:divBdr>
        <w:top w:val="none" w:sz="0" w:space="0" w:color="auto"/>
        <w:left w:val="none" w:sz="0" w:space="0" w:color="auto"/>
        <w:bottom w:val="none" w:sz="0" w:space="0" w:color="auto"/>
        <w:right w:val="none" w:sz="0" w:space="0" w:color="auto"/>
      </w:divBdr>
    </w:div>
    <w:div w:id="1695837720">
      <w:bodyDiv w:val="1"/>
      <w:marLeft w:val="0"/>
      <w:marRight w:val="0"/>
      <w:marTop w:val="0"/>
      <w:marBottom w:val="0"/>
      <w:divBdr>
        <w:top w:val="none" w:sz="0" w:space="0" w:color="auto"/>
        <w:left w:val="none" w:sz="0" w:space="0" w:color="auto"/>
        <w:bottom w:val="none" w:sz="0" w:space="0" w:color="auto"/>
        <w:right w:val="none" w:sz="0" w:space="0" w:color="auto"/>
      </w:divBdr>
    </w:div>
    <w:div w:id="1999453365">
      <w:bodyDiv w:val="1"/>
      <w:marLeft w:val="0"/>
      <w:marRight w:val="0"/>
      <w:marTop w:val="0"/>
      <w:marBottom w:val="0"/>
      <w:divBdr>
        <w:top w:val="none" w:sz="0" w:space="0" w:color="auto"/>
        <w:left w:val="none" w:sz="0" w:space="0" w:color="auto"/>
        <w:bottom w:val="none" w:sz="0" w:space="0" w:color="auto"/>
        <w:right w:val="none" w:sz="0" w:space="0" w:color="auto"/>
      </w:divBdr>
    </w:div>
    <w:div w:id="2053192459">
      <w:bodyDiv w:val="1"/>
      <w:marLeft w:val="0"/>
      <w:marRight w:val="0"/>
      <w:marTop w:val="0"/>
      <w:marBottom w:val="0"/>
      <w:divBdr>
        <w:top w:val="none" w:sz="0" w:space="0" w:color="auto"/>
        <w:left w:val="none" w:sz="0" w:space="0" w:color="auto"/>
        <w:bottom w:val="none" w:sz="0" w:space="0" w:color="auto"/>
        <w:right w:val="none" w:sz="0" w:space="0" w:color="auto"/>
      </w:divBdr>
    </w:div>
    <w:div w:id="209631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ankhorst\Documents\Aangepaste%20Office-sjablonen\Intrakoop_Rapport_met%20logo.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801934050279113E-2"/>
          <c:y val="0.12872083668543846"/>
          <c:w val="0.90015775129878672"/>
          <c:h val="0.59775752085695655"/>
        </c:manualLayout>
      </c:layout>
      <c:lineChart>
        <c:grouping val="standard"/>
        <c:varyColors val="0"/>
        <c:ser>
          <c:idx val="0"/>
          <c:order val="0"/>
          <c:tx>
            <c:strRef>
              <c:f>Blad1!$B$1</c:f>
              <c:strCache>
                <c:ptCount val="1"/>
                <c:pt idx="0">
                  <c:v>Bedrijfsopbrengsten</c:v>
                </c:pt>
              </c:strCache>
            </c:strRef>
          </c:tx>
          <c:spPr>
            <a:ln w="12700">
              <a:solidFill>
                <a:srgbClr val="0083FF"/>
              </a:solidFill>
            </a:ln>
          </c:spPr>
          <c:marker>
            <c:symbol val="circle"/>
            <c:size val="5"/>
            <c:spPr>
              <a:solidFill>
                <a:srgbClr val="0083FF"/>
              </a:solidFill>
              <a:ln>
                <a:noFill/>
              </a:ln>
            </c:spPr>
          </c:marker>
          <c:dLbls>
            <c:dLbl>
              <c:idx val="0"/>
              <c:layout>
                <c:manualLayout>
                  <c:x val="-4.9053685767155221E-2"/>
                  <c:y val="6.75987102577583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047-43AA-BF21-029B80DC9C55}"/>
                </c:ext>
              </c:extLst>
            </c:dLbl>
            <c:dLbl>
              <c:idx val="1"/>
              <c:layout>
                <c:manualLayout>
                  <c:x val="-5.1511896189967425E-2"/>
                  <c:y val="5.95536579649184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047-43AA-BF21-029B80DC9C55}"/>
                </c:ext>
              </c:extLst>
            </c:dLbl>
            <c:dLbl>
              <c:idx val="2"/>
              <c:layout>
                <c:manualLayout>
                  <c:x val="-4.9047491851129228E-2"/>
                  <c:y val="-7.72122310133598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047-43AA-BF21-029B80DC9C55}"/>
                </c:ext>
              </c:extLst>
            </c:dLbl>
            <c:dLbl>
              <c:idx val="6"/>
              <c:layout>
                <c:manualLayout>
                  <c:x val="-4.9053685767155214E-2"/>
                  <c:y val="5.95536579649185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047-43AA-BF21-029B80DC9C55}"/>
                </c:ext>
              </c:extLst>
            </c:dLbl>
            <c:dLbl>
              <c:idx val="7"/>
              <c:layout>
                <c:manualLayout>
                  <c:x val="-4.9053685767155304E-2"/>
                  <c:y val="-7.72122310133598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047-43AA-BF21-029B80DC9C55}"/>
                </c:ext>
              </c:extLst>
            </c:dLbl>
            <c:dLbl>
              <c:idx val="8"/>
              <c:layout>
                <c:manualLayout>
                  <c:x val="-4.3973900386345514E-2"/>
                  <c:y val="6.02504735178416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047-43AA-BF21-029B80DC9C55}"/>
                </c:ext>
              </c:extLst>
            </c:dLbl>
            <c:dLbl>
              <c:idx val="10"/>
              <c:layout>
                <c:manualLayout>
                  <c:x val="-3.2423214797265384E-2"/>
                  <c:y val="8.36888148434381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609-4429-8EF4-A5610F51C5FC}"/>
                </c:ext>
              </c:extLst>
            </c:dLbl>
            <c:numFmt formatCode="\+0.0%;\-0.0%" sourceLinked="0"/>
            <c:spPr>
              <a:noFill/>
              <a:ln>
                <a:noFill/>
              </a:ln>
              <a:effectLst/>
            </c:spPr>
            <c:txPr>
              <a:bodyPr/>
              <a:lstStyle/>
              <a:p>
                <a:pPr>
                  <a:defRPr sz="800">
                    <a:solidFill>
                      <a:srgbClr val="0083FF"/>
                    </a:solidFill>
                    <a:latin typeface="Arial" panose="020B0604020202020204" pitchFamily="34" charset="0"/>
                    <a:cs typeface="Arial" panose="020B0604020202020204" pitchFamily="34" charset="0"/>
                  </a:defRPr>
                </a:pPr>
                <a:endParaRPr lang="nl-N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Blad1!$A$2:$A$12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Blad1!$B$2:$B$12</c:f>
              <c:numCache>
                <c:formatCode>0.0%</c:formatCode>
                <c:ptCount val="11"/>
                <c:pt idx="0">
                  <c:v>1.6E-2</c:v>
                </c:pt>
                <c:pt idx="1">
                  <c:v>5.0000000000000001E-3</c:v>
                </c:pt>
                <c:pt idx="2">
                  <c:v>-2.1000000000000001E-2</c:v>
                </c:pt>
                <c:pt idx="3">
                  <c:v>1E-3</c:v>
                </c:pt>
                <c:pt idx="4">
                  <c:v>1.7999999999999999E-2</c:v>
                </c:pt>
                <c:pt idx="5">
                  <c:v>2.1999999999999999E-2</c:v>
                </c:pt>
                <c:pt idx="6">
                  <c:v>4.1000000000000002E-2</c:v>
                </c:pt>
                <c:pt idx="7">
                  <c:v>7.1999999999999995E-2</c:v>
                </c:pt>
                <c:pt idx="8">
                  <c:v>5.9799999999999999E-2</c:v>
                </c:pt>
                <c:pt idx="9">
                  <c:v>5.11E-2</c:v>
                </c:pt>
                <c:pt idx="10">
                  <c:v>3.5999999999999997E-2</c:v>
                </c:pt>
              </c:numCache>
            </c:numRef>
          </c:val>
          <c:smooth val="1"/>
          <c:extLst>
            <c:ext xmlns:c16="http://schemas.microsoft.com/office/drawing/2014/chart" uri="{C3380CC4-5D6E-409C-BE32-E72D297353CC}">
              <c16:uniqueId val="{00000006-2047-43AA-BF21-029B80DC9C55}"/>
            </c:ext>
          </c:extLst>
        </c:ser>
        <c:ser>
          <c:idx val="1"/>
          <c:order val="1"/>
          <c:tx>
            <c:strRef>
              <c:f>Blad1!$C$1</c:f>
              <c:strCache>
                <c:ptCount val="1"/>
                <c:pt idx="0">
                  <c:v>Bedrijfslasten</c:v>
                </c:pt>
              </c:strCache>
            </c:strRef>
          </c:tx>
          <c:spPr>
            <a:ln w="12700"/>
          </c:spPr>
          <c:marker>
            <c:symbol val="circle"/>
            <c:size val="5"/>
            <c:spPr>
              <a:solidFill>
                <a:schemeClr val="accent2"/>
              </a:solidFill>
              <a:ln>
                <a:noFill/>
              </a:ln>
            </c:spPr>
          </c:marker>
          <c:dLbls>
            <c:dLbl>
              <c:idx val="0"/>
              <c:layout>
                <c:manualLayout>
                  <c:x val="-4.3313667649950857E-2"/>
                  <c:y val="-6.75980767890739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047-43AA-BF21-029B80DC9C55}"/>
                </c:ext>
              </c:extLst>
            </c:dLbl>
            <c:dLbl>
              <c:idx val="1"/>
              <c:layout>
                <c:manualLayout>
                  <c:x val="-4.3313667649950857E-2"/>
                  <c:y val="-9.17332336675936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047-43AA-BF21-029B80DC9C55}"/>
                </c:ext>
              </c:extLst>
            </c:dLbl>
            <c:dLbl>
              <c:idx val="2"/>
              <c:layout>
                <c:manualLayout>
                  <c:x val="-4.6589281428317079E-2"/>
                  <c:y val="-0.1560936520103128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047-43AA-BF21-029B80DC9C55}"/>
                </c:ext>
              </c:extLst>
            </c:dLbl>
            <c:dLbl>
              <c:idx val="6"/>
              <c:layout>
                <c:manualLayout>
                  <c:x val="-4.3313667649950836E-2"/>
                  <c:y val="-6.75980767890739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047-43AA-BF21-029B80DC9C55}"/>
                </c:ext>
              </c:extLst>
            </c:dLbl>
            <c:dLbl>
              <c:idx val="7"/>
              <c:layout>
                <c:manualLayout>
                  <c:x val="-4.3313667649950927E-2"/>
                  <c:y val="7.72128644820442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047-43AA-BF21-029B80DC9C55}"/>
                </c:ext>
              </c:extLst>
            </c:dLbl>
            <c:dLbl>
              <c:idx val="8"/>
              <c:layout>
                <c:manualLayout>
                  <c:x val="-4.0855457227138646E-2"/>
                  <c:y val="-5.95530244962340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047-43AA-BF21-029B80DC9C55}"/>
                </c:ext>
              </c:extLst>
            </c:dLbl>
            <c:dLbl>
              <c:idx val="10"/>
              <c:layout>
                <c:manualLayout>
                  <c:x val="-3.8163039354593947E-2"/>
                  <c:y val="-7.5643129081913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609-4429-8EF4-A5610F51C5FC}"/>
                </c:ext>
              </c:extLst>
            </c:dLbl>
            <c:spPr>
              <a:noFill/>
              <a:ln>
                <a:noFill/>
              </a:ln>
              <a:effectLst/>
            </c:spPr>
            <c:txPr>
              <a:bodyPr wrap="square" lIns="38100" tIns="19050" rIns="38100" bIns="19050" anchor="ctr">
                <a:spAutoFit/>
              </a:bodyPr>
              <a:lstStyle/>
              <a:p>
                <a:pPr>
                  <a:defRPr sz="800">
                    <a:solidFill>
                      <a:schemeClr val="accent2"/>
                    </a:solidFill>
                    <a:latin typeface="Arial" panose="020B0604020202020204" pitchFamily="34" charset="0"/>
                    <a:cs typeface="Arial" panose="020B0604020202020204" pitchFamily="34" charset="0"/>
                  </a:defRPr>
                </a:pPr>
                <a:endParaRPr lang="nl-NL"/>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Blad1!$A$2:$A$12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Blad1!$C$2:$C$12</c:f>
              <c:numCache>
                <c:formatCode>0.0%</c:formatCode>
                <c:ptCount val="11"/>
                <c:pt idx="0">
                  <c:v>3.5000000000000003E-2</c:v>
                </c:pt>
                <c:pt idx="1">
                  <c:v>1.2E-2</c:v>
                </c:pt>
                <c:pt idx="2">
                  <c:v>-1.9E-2</c:v>
                </c:pt>
                <c:pt idx="3">
                  <c:v>-4.0000000000000001E-3</c:v>
                </c:pt>
                <c:pt idx="4">
                  <c:v>2.1999999999999999E-2</c:v>
                </c:pt>
                <c:pt idx="5">
                  <c:v>1.6E-2</c:v>
                </c:pt>
                <c:pt idx="6">
                  <c:v>5.8999999999999997E-2</c:v>
                </c:pt>
                <c:pt idx="7">
                  <c:v>5.7000000000000002E-2</c:v>
                </c:pt>
                <c:pt idx="8">
                  <c:v>7.0400000000000004E-2</c:v>
                </c:pt>
                <c:pt idx="9">
                  <c:v>3.8800000000000001E-2</c:v>
                </c:pt>
                <c:pt idx="10">
                  <c:v>5.6000000000000001E-2</c:v>
                </c:pt>
              </c:numCache>
            </c:numRef>
          </c:val>
          <c:smooth val="1"/>
          <c:extLst>
            <c:ext xmlns:c16="http://schemas.microsoft.com/office/drawing/2014/chart" uri="{C3380CC4-5D6E-409C-BE32-E72D297353CC}">
              <c16:uniqueId val="{0000000D-2047-43AA-BF21-029B80DC9C55}"/>
            </c:ext>
          </c:extLst>
        </c:ser>
        <c:dLbls>
          <c:showLegendKey val="0"/>
          <c:showVal val="0"/>
          <c:showCatName val="0"/>
          <c:showSerName val="0"/>
          <c:showPercent val="0"/>
          <c:showBubbleSize val="0"/>
        </c:dLbls>
        <c:marker val="1"/>
        <c:smooth val="0"/>
        <c:axId val="40875520"/>
        <c:axId val="40877056"/>
      </c:lineChart>
      <c:catAx>
        <c:axId val="40875520"/>
        <c:scaling>
          <c:orientation val="minMax"/>
        </c:scaling>
        <c:delete val="0"/>
        <c:axPos val="b"/>
        <c:numFmt formatCode="General"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nl-NL"/>
          </a:p>
        </c:txPr>
        <c:crossAx val="40877056"/>
        <c:crossesAt val="-3.0000000000000006E-2"/>
        <c:auto val="1"/>
        <c:lblAlgn val="ctr"/>
        <c:lblOffset val="100"/>
        <c:noMultiLvlLbl val="0"/>
      </c:catAx>
      <c:valAx>
        <c:axId val="40877056"/>
        <c:scaling>
          <c:orientation val="minMax"/>
          <c:max val="8.0000000000000016E-2"/>
          <c:min val="-4.0000000000000008E-2"/>
        </c:scaling>
        <c:delete val="0"/>
        <c:axPos val="l"/>
        <c:numFmt formatCode="\+#%;\-#%"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nl-NL"/>
          </a:p>
        </c:txPr>
        <c:crossAx val="40875520"/>
        <c:crossesAt val="1"/>
        <c:crossBetween val="between"/>
        <c:majorUnit val="2.0000000000000004E-2"/>
      </c:valAx>
      <c:spPr>
        <a:noFill/>
      </c:spPr>
    </c:plotArea>
    <c:legend>
      <c:legendPos val="b"/>
      <c:overlay val="0"/>
      <c:txPr>
        <a:bodyPr/>
        <a:lstStyle/>
        <a:p>
          <a:pPr>
            <a:defRPr sz="800">
              <a:latin typeface="Arial" panose="020B0604020202020204" pitchFamily="34" charset="0"/>
              <a:cs typeface="Arial" panose="020B0604020202020204" pitchFamily="34" charset="0"/>
            </a:defRPr>
          </a:pPr>
          <a:endParaRPr lang="nl-NL"/>
        </a:p>
      </c:txPr>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54616021159831"/>
          <c:y val="9.7590353507066852E-2"/>
          <c:w val="0.25469308599481155"/>
          <c:h val="0.68226075367522065"/>
        </c:manualLayout>
      </c:layout>
      <c:pieChart>
        <c:varyColors val="1"/>
        <c:ser>
          <c:idx val="0"/>
          <c:order val="0"/>
          <c:spPr>
            <a:ln>
              <a:solidFill>
                <a:schemeClr val="bg1">
                  <a:alpha val="92000"/>
                </a:schemeClr>
              </a:solidFill>
            </a:ln>
          </c:spPr>
          <c:dPt>
            <c:idx val="2"/>
            <c:bubble3D val="0"/>
            <c:spPr>
              <a:ln w="12700">
                <a:solidFill>
                  <a:schemeClr val="bg1">
                    <a:alpha val="92000"/>
                  </a:schemeClr>
                </a:solidFill>
              </a:ln>
            </c:spPr>
            <c:extLst>
              <c:ext xmlns:c16="http://schemas.microsoft.com/office/drawing/2014/chart" uri="{C3380CC4-5D6E-409C-BE32-E72D297353CC}">
                <c16:uniqueId val="{00000001-0EAF-4A5A-AB6A-3DE6FA155905}"/>
              </c:ext>
            </c:extLst>
          </c:dPt>
          <c:dLbls>
            <c:dLbl>
              <c:idx val="1"/>
              <c:delete val="1"/>
              <c:extLst>
                <c:ext xmlns:c15="http://schemas.microsoft.com/office/drawing/2012/chart" uri="{CE6537A1-D6FC-4f65-9D91-7224C49458BB}"/>
                <c:ext xmlns:c16="http://schemas.microsoft.com/office/drawing/2014/chart" uri="{C3380CC4-5D6E-409C-BE32-E72D297353CC}">
                  <c16:uniqueId val="{00000002-0EAF-4A5A-AB6A-3DE6FA155905}"/>
                </c:ext>
              </c:extLst>
            </c:dLbl>
            <c:spPr>
              <a:noFill/>
              <a:ln>
                <a:noFill/>
              </a:ln>
              <a:effectLst/>
            </c:spPr>
            <c:txPr>
              <a:bodyPr/>
              <a:lstStyle/>
              <a:p>
                <a:pPr>
                  <a:defRPr sz="800">
                    <a:solidFill>
                      <a:sysClr val="windowText" lastClr="000000"/>
                    </a:solidFill>
                    <a:latin typeface="Arial" pitchFamily="34" charset="0"/>
                    <a:cs typeface="Arial" pitchFamily="34" charset="0"/>
                  </a:defRPr>
                </a:pPr>
                <a:endParaRPr lang="nl-NL"/>
              </a:p>
            </c:txPr>
            <c:showLegendKey val="0"/>
            <c:showVal val="0"/>
            <c:showCatName val="1"/>
            <c:showSerName val="0"/>
            <c:showPercent val="1"/>
            <c:showBubbleSize val="0"/>
            <c:showLeaderLines val="0"/>
            <c:extLst>
              <c:ext xmlns:c15="http://schemas.microsoft.com/office/drawing/2012/chart" uri="{CE6537A1-D6FC-4f65-9D91-7224C49458BB}"/>
            </c:extLst>
          </c:dLbls>
          <c:cat>
            <c:strRef>
              <c:f>Blad1!$A$1:$D$1</c:f>
              <c:strCache>
                <c:ptCount val="4"/>
                <c:pt idx="0">
                  <c:v>Personeelskosten</c:v>
                </c:pt>
                <c:pt idx="1">
                  <c:v>Honorariumkosten vrijgevestigd medisch specialisten</c:v>
                </c:pt>
                <c:pt idx="2">
                  <c:v>Afschrijvingen</c:v>
                </c:pt>
                <c:pt idx="3">
                  <c:v>Overige bedrijfskosten</c:v>
                </c:pt>
              </c:strCache>
            </c:strRef>
          </c:cat>
          <c:val>
            <c:numRef>
              <c:f>Blad1!$A$2:$D$2</c:f>
              <c:numCache>
                <c:formatCode>0.0%</c:formatCode>
                <c:ptCount val="4"/>
                <c:pt idx="0">
                  <c:v>0.75</c:v>
                </c:pt>
                <c:pt idx="1">
                  <c:v>0</c:v>
                </c:pt>
                <c:pt idx="2">
                  <c:v>2.4E-2</c:v>
                </c:pt>
                <c:pt idx="3">
                  <c:v>0.21099999999999999</c:v>
                </c:pt>
              </c:numCache>
            </c:numRef>
          </c:val>
          <c:extLst>
            <c:ext xmlns:c16="http://schemas.microsoft.com/office/drawing/2014/chart" uri="{C3380CC4-5D6E-409C-BE32-E72D297353CC}">
              <c16:uniqueId val="{00000003-0EAF-4A5A-AB6A-3DE6FA155905}"/>
            </c:ext>
          </c:extLst>
        </c:ser>
        <c:dLbls>
          <c:showLegendKey val="0"/>
          <c:showVal val="0"/>
          <c:showCatName val="0"/>
          <c:showSerName val="0"/>
          <c:showPercent val="0"/>
          <c:showBubbleSize val="0"/>
          <c:showLeaderLines val="0"/>
        </c:dLbls>
        <c:firstSliceAng val="0"/>
      </c:pieChart>
      <c:spPr>
        <a:ln w="12700">
          <a:noFill/>
        </a:ln>
      </c:spPr>
    </c:plotArea>
    <c:plotVisOnly val="1"/>
    <c:dispBlanksAs val="zero"/>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Blad1!$B$1</c:f>
              <c:strCache>
                <c:ptCount val="1"/>
                <c:pt idx="0">
                  <c:v>Inkoopgerelateerde exploitatiekosten</c:v>
                </c:pt>
              </c:strCache>
            </c:strRef>
          </c:tx>
          <c:marker>
            <c:symbol val="circle"/>
            <c:size val="5"/>
            <c:spPr>
              <a:solidFill>
                <a:srgbClr val="FF9200"/>
              </a:solidFill>
              <a:ln>
                <a:noFill/>
              </a:ln>
            </c:spPr>
          </c:marker>
          <c:dLbls>
            <c:numFmt formatCode="\+0.0%;\-0.0%" sourceLinked="0"/>
            <c:spPr>
              <a:noFill/>
              <a:ln>
                <a:noFill/>
              </a:ln>
              <a:effectLst/>
            </c:spPr>
            <c:txPr>
              <a:bodyPr/>
              <a:lstStyle/>
              <a:p>
                <a:pPr>
                  <a:defRPr sz="800">
                    <a:latin typeface="Arial" panose="020B0604020202020204" pitchFamily="34" charset="0"/>
                    <a:cs typeface="Arial" panose="020B060402020202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Blad1!$A$2:$A$12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Blad1!$B$2:$B$12</c:f>
            </c:numRef>
          </c:val>
          <c:smooth val="1"/>
          <c:extLst>
            <c:ext xmlns:c16="http://schemas.microsoft.com/office/drawing/2014/chart" uri="{C3380CC4-5D6E-409C-BE32-E72D297353CC}">
              <c16:uniqueId val="{00000000-27F0-416A-83C9-D27FCC66749C}"/>
            </c:ext>
          </c:extLst>
        </c:ser>
        <c:ser>
          <c:idx val="0"/>
          <c:order val="1"/>
          <c:tx>
            <c:strRef>
              <c:f>Blad1!$C$1</c:f>
              <c:strCache>
                <c:ptCount val="1"/>
                <c:pt idx="0">
                  <c:v>Investeringen</c:v>
                </c:pt>
              </c:strCache>
            </c:strRef>
          </c:tx>
          <c:cat>
            <c:numRef>
              <c:f>Blad1!$A$2:$A$12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Blad1!$C$2:$C$12</c:f>
            </c:numRef>
          </c:val>
          <c:smooth val="0"/>
          <c:extLst>
            <c:ext xmlns:c16="http://schemas.microsoft.com/office/drawing/2014/chart" uri="{C3380CC4-5D6E-409C-BE32-E72D297353CC}">
              <c16:uniqueId val="{00000001-27F0-416A-83C9-D27FCC66749C}"/>
            </c:ext>
          </c:extLst>
        </c:ser>
        <c:ser>
          <c:idx val="2"/>
          <c:order val="2"/>
          <c:tx>
            <c:strRef>
              <c:f>Blad1!$D$1</c:f>
              <c:strCache>
                <c:ptCount val="1"/>
                <c:pt idx="0">
                  <c:v>Inkoopuitgaven</c:v>
                </c:pt>
              </c:strCache>
            </c:strRef>
          </c:tx>
          <c:spPr>
            <a:ln w="12700"/>
          </c:spPr>
          <c:marker>
            <c:symbol val="circle"/>
            <c:size val="5"/>
          </c:marker>
          <c:dLbls>
            <c:numFmt formatCode="\+0.0%;\-#.0%" sourceLinked="0"/>
            <c:spPr>
              <a:noFill/>
              <a:ln>
                <a:noFill/>
              </a:ln>
              <a:effectLst/>
            </c:spPr>
            <c:txPr>
              <a:bodyPr wrap="square" lIns="38100" tIns="19050" rIns="38100" bIns="19050" anchor="ctr">
                <a:spAutoFit/>
              </a:bodyPr>
              <a:lstStyle/>
              <a:p>
                <a:pPr>
                  <a:defRPr sz="800">
                    <a:solidFill>
                      <a:schemeClr val="accent3"/>
                    </a:solidFill>
                    <a:latin typeface="Arial" panose="020B0604020202020204" pitchFamily="34" charset="0"/>
                    <a:cs typeface="Arial" panose="020B060402020202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Blad1!$A$2:$A$12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Blad1!$D$2:$D$12</c:f>
              <c:numCache>
                <c:formatCode>0.0%</c:formatCode>
                <c:ptCount val="11"/>
                <c:pt idx="0">
                  <c:v>7.5999999999999998E-2</c:v>
                </c:pt>
                <c:pt idx="1">
                  <c:v>-0.115</c:v>
                </c:pt>
                <c:pt idx="2">
                  <c:v>-0.11</c:v>
                </c:pt>
                <c:pt idx="3">
                  <c:v>-2.1999999999999999E-2</c:v>
                </c:pt>
                <c:pt idx="4">
                  <c:v>2.5000000000000001E-2</c:v>
                </c:pt>
                <c:pt idx="5" formatCode="0.00%">
                  <c:v>3.5000000000000003E-2</c:v>
                </c:pt>
                <c:pt idx="6">
                  <c:v>7.3999999999999996E-2</c:v>
                </c:pt>
                <c:pt idx="7">
                  <c:v>9.4E-2</c:v>
                </c:pt>
                <c:pt idx="8">
                  <c:v>7.0000000000000007E-2</c:v>
                </c:pt>
                <c:pt idx="9">
                  <c:v>8.9999999999999993E-3</c:v>
                </c:pt>
                <c:pt idx="10">
                  <c:v>8.5999999999999993E-2</c:v>
                </c:pt>
              </c:numCache>
            </c:numRef>
          </c:val>
          <c:smooth val="1"/>
          <c:extLst>
            <c:ext xmlns:c16="http://schemas.microsoft.com/office/drawing/2014/chart" uri="{C3380CC4-5D6E-409C-BE32-E72D297353CC}">
              <c16:uniqueId val="{00000002-27F0-416A-83C9-D27FCC66749C}"/>
            </c:ext>
          </c:extLst>
        </c:ser>
        <c:dLbls>
          <c:showLegendKey val="0"/>
          <c:showVal val="0"/>
          <c:showCatName val="0"/>
          <c:showSerName val="0"/>
          <c:showPercent val="0"/>
          <c:showBubbleSize val="0"/>
        </c:dLbls>
        <c:marker val="1"/>
        <c:smooth val="0"/>
        <c:axId val="41707776"/>
        <c:axId val="41717760"/>
      </c:lineChart>
      <c:catAx>
        <c:axId val="41707776"/>
        <c:scaling>
          <c:orientation val="minMax"/>
        </c:scaling>
        <c:delete val="0"/>
        <c:axPos val="b"/>
        <c:numFmt formatCode="General"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nl-NL"/>
          </a:p>
        </c:txPr>
        <c:crossAx val="41717760"/>
        <c:crosses val="autoZero"/>
        <c:auto val="1"/>
        <c:lblAlgn val="ctr"/>
        <c:lblOffset val="100"/>
        <c:noMultiLvlLbl val="0"/>
      </c:catAx>
      <c:valAx>
        <c:axId val="41717760"/>
        <c:scaling>
          <c:orientation val="minMax"/>
          <c:max val="0.1"/>
          <c:min val="-0.15000000000000002"/>
        </c:scaling>
        <c:delete val="0"/>
        <c:axPos val="l"/>
        <c:numFmt formatCode="\+0%;\-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nl-NL"/>
          </a:p>
        </c:txPr>
        <c:crossAx val="41707776"/>
        <c:crosses val="autoZero"/>
        <c:crossBetween val="between"/>
        <c:majorUnit val="5.000000000000001E-2"/>
      </c:valAx>
      <c:spPr>
        <a:noFill/>
      </c:spPr>
    </c:plotArea>
    <c:legend>
      <c:legendPos val="b"/>
      <c:overlay val="0"/>
      <c:txPr>
        <a:bodyPr/>
        <a:lstStyle/>
        <a:p>
          <a:pPr>
            <a:defRPr sz="800">
              <a:latin typeface="Arial" panose="020B0604020202020204" pitchFamily="34" charset="0"/>
              <a:cs typeface="Arial" panose="020B0604020202020204" pitchFamily="34" charset="0"/>
            </a:defRPr>
          </a:pPr>
          <a:endParaRPr lang="nl-NL"/>
        </a:p>
      </c:txPr>
    </c:legend>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en-US" sz="800"/>
              <a:t>Ontwikkeling</a:t>
            </a:r>
            <a:r>
              <a:rPr lang="en-US" sz="800" baseline="0"/>
              <a:t> </a:t>
            </a:r>
            <a:r>
              <a:rPr lang="en-US" sz="800" b="1" i="0" u="none" strike="noStrike" kern="1200" baseline="0">
                <a:solidFill>
                  <a:srgbClr val="000000"/>
                </a:solidFill>
                <a:latin typeface="Arial" pitchFamily="34" charset="0"/>
                <a:ea typeface="+mn-ea"/>
                <a:cs typeface="Arial" pitchFamily="34" charset="0"/>
              </a:rPr>
              <a:t>2021</a:t>
            </a:r>
            <a:r>
              <a:rPr lang="en-US" sz="800" baseline="0"/>
              <a:t>-</a:t>
            </a:r>
            <a:r>
              <a:rPr lang="en-US" sz="800" b="1" i="0" u="none" strike="noStrike" kern="1200" baseline="0">
                <a:solidFill>
                  <a:srgbClr val="000000"/>
                </a:solidFill>
                <a:latin typeface="Arial" pitchFamily="34" charset="0"/>
                <a:ea typeface="+mn-ea"/>
                <a:cs typeface="Arial" pitchFamily="34" charset="0"/>
              </a:rPr>
              <a:t>2022</a:t>
            </a:r>
            <a:br>
              <a:rPr lang="en-US" sz="800" baseline="0"/>
            </a:br>
            <a:r>
              <a:rPr lang="en-US" sz="800" b="0" baseline="0"/>
              <a:t>Totaal: +9,3%</a:t>
            </a:r>
            <a:endParaRPr lang="en-US" sz="800" b="0"/>
          </a:p>
        </c:rich>
      </c:tx>
      <c:layout>
        <c:manualLayout>
          <c:xMode val="edge"/>
          <c:yMode val="edge"/>
          <c:x val="0.20572631309255526"/>
          <c:y val="0"/>
        </c:manualLayout>
      </c:layout>
      <c:overlay val="0"/>
    </c:title>
    <c:autoTitleDeleted val="0"/>
    <c:plotArea>
      <c:layout>
        <c:manualLayout>
          <c:layoutTarget val="inner"/>
          <c:xMode val="edge"/>
          <c:yMode val="edge"/>
          <c:x val="0.12286383872458788"/>
          <c:y val="0.12307184360575618"/>
          <c:w val="0.80500683893386571"/>
          <c:h val="0.77572131414607659"/>
        </c:manualLayout>
      </c:layout>
      <c:barChart>
        <c:barDir val="bar"/>
        <c:grouping val="clustered"/>
        <c:varyColors val="0"/>
        <c:ser>
          <c:idx val="0"/>
          <c:order val="0"/>
          <c:tx>
            <c:strRef>
              <c:f>Blad1!$B$1</c:f>
              <c:strCache>
                <c:ptCount val="1"/>
                <c:pt idx="0">
                  <c:v>Kolom2</c:v>
                </c:pt>
              </c:strCache>
            </c:strRef>
          </c:tx>
          <c:spPr>
            <a:solidFill>
              <a:srgbClr val="0083FF"/>
            </a:solidFill>
          </c:spPr>
          <c:invertIfNegative val="0"/>
          <c:dLbls>
            <c:dLbl>
              <c:idx val="3"/>
              <c:layout>
                <c:manualLayout>
                  <c:x val="2.3655288314697057E-2"/>
                  <c:y val="-2.7586206896551661E-3"/>
                </c:manualLayout>
              </c:layout>
              <c:numFmt formatCode="\+0.0%;\-0.0%" sourceLinked="0"/>
              <c:spPr>
                <a:noFill/>
                <a:ln>
                  <a:noFill/>
                </a:ln>
                <a:effectLst/>
              </c:spPr>
              <c:txPr>
                <a:bodyPr wrap="square" lIns="38100" tIns="19050" rIns="38100" bIns="19050" anchor="ctr">
                  <a:noAutofit/>
                </a:bodyPr>
                <a:lstStyle/>
                <a:p>
                  <a:pPr>
                    <a:defRPr/>
                  </a:pPr>
                  <a:endParaRPr lang="nl-NL"/>
                </a:p>
              </c:txPr>
              <c:showLegendKey val="0"/>
              <c:showVal val="1"/>
              <c:showCatName val="0"/>
              <c:showSerName val="0"/>
              <c:showPercent val="0"/>
              <c:showBubbleSize val="0"/>
              <c:extLst>
                <c:ext xmlns:c15="http://schemas.microsoft.com/office/drawing/2012/chart" uri="{CE6537A1-D6FC-4f65-9D91-7224C49458BB}">
                  <c15:layout>
                    <c:manualLayout>
                      <c:w val="0.23608000388840283"/>
                      <c:h val="5.3489655172413803E-2"/>
                    </c:manualLayout>
                  </c15:layout>
                </c:ext>
                <c:ext xmlns:c16="http://schemas.microsoft.com/office/drawing/2014/chart" uri="{C3380CC4-5D6E-409C-BE32-E72D297353CC}">
                  <c16:uniqueId val="{00000000-092A-4C32-8137-EB6C2CEBA8F3}"/>
                </c:ext>
              </c:extLst>
            </c:dLbl>
            <c:dLbl>
              <c:idx val="5"/>
              <c:showLegendKey val="0"/>
              <c:showVal val="1"/>
              <c:showCatName val="0"/>
              <c:showSerName val="0"/>
              <c:showPercent val="0"/>
              <c:showBubbleSize val="0"/>
              <c:extLst>
                <c:ext xmlns:c15="http://schemas.microsoft.com/office/drawing/2012/chart" uri="{CE6537A1-D6FC-4f65-9D91-7224C49458BB}">
                  <c15:layout>
                    <c:manualLayout>
                      <c:w val="0.22373432487605713"/>
                      <c:h val="5.9006896551724149E-2"/>
                    </c:manualLayout>
                  </c15:layout>
                </c:ext>
                <c:ext xmlns:c16="http://schemas.microsoft.com/office/drawing/2014/chart" uri="{C3380CC4-5D6E-409C-BE32-E72D297353CC}">
                  <c16:uniqueId val="{00000001-092A-4C32-8137-EB6C2CEBA8F3}"/>
                </c:ext>
              </c:extLst>
            </c:dLbl>
            <c:numFmt formatCode="\+0.0%;\-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Blad1!$A$2:$A$9</c:f>
              <c:strCache>
                <c:ptCount val="8"/>
                <c:pt idx="0">
                  <c:v>Voedingsmiddelen en hotelmatige kosten</c:v>
                </c:pt>
                <c:pt idx="1">
                  <c:v>Algemene kosten</c:v>
                </c:pt>
                <c:pt idx="2">
                  <c:v>Patiënt/cliënt en bewonersgebonden</c:v>
                </c:pt>
                <c:pt idx="3">
                  <c:v>Onderhouds- en energiekosten Verslagjaar</c:v>
                </c:pt>
                <c:pt idx="4">
                  <c:v>Huur en leasing</c:v>
                </c:pt>
                <c:pt idx="5">
                  <c:v>Personeel niet in loondienst Verslagjaar</c:v>
                </c:pt>
                <c:pt idx="6">
                  <c:v>Overige personeelskosten</c:v>
                </c:pt>
                <c:pt idx="7">
                  <c:v>Overige kosten uitbesteed werk en andere externe kosten</c:v>
                </c:pt>
              </c:strCache>
            </c:strRef>
          </c:cat>
          <c:val>
            <c:numRef>
              <c:f>Blad1!$B$2:$B$9</c:f>
              <c:numCache>
                <c:formatCode>0.0%</c:formatCode>
                <c:ptCount val="8"/>
                <c:pt idx="0">
                  <c:v>8.5999999999999993E-2</c:v>
                </c:pt>
                <c:pt idx="1">
                  <c:v>8.4000000000000005E-2</c:v>
                </c:pt>
                <c:pt idx="2">
                  <c:v>8.1000000000000003E-2</c:v>
                </c:pt>
                <c:pt idx="3">
                  <c:v>5.5E-2</c:v>
                </c:pt>
                <c:pt idx="4">
                  <c:v>6.3098930017157301E-2</c:v>
                </c:pt>
                <c:pt idx="5">
                  <c:v>0.20100000000000001</c:v>
                </c:pt>
                <c:pt idx="6">
                  <c:v>6.2E-2</c:v>
                </c:pt>
                <c:pt idx="7">
                  <c:v>6.4000000000000001E-2</c:v>
                </c:pt>
              </c:numCache>
            </c:numRef>
          </c:val>
          <c:extLst>
            <c:ext xmlns:c16="http://schemas.microsoft.com/office/drawing/2014/chart" uri="{C3380CC4-5D6E-409C-BE32-E72D297353CC}">
              <c16:uniqueId val="{00000002-092A-4C32-8137-EB6C2CEBA8F3}"/>
            </c:ext>
          </c:extLst>
        </c:ser>
        <c:dLbls>
          <c:showLegendKey val="0"/>
          <c:showVal val="0"/>
          <c:showCatName val="0"/>
          <c:showSerName val="0"/>
          <c:showPercent val="0"/>
          <c:showBubbleSize val="0"/>
        </c:dLbls>
        <c:gapWidth val="150"/>
        <c:axId val="41426944"/>
        <c:axId val="41428480"/>
      </c:barChart>
      <c:catAx>
        <c:axId val="41426944"/>
        <c:scaling>
          <c:orientation val="maxMin"/>
        </c:scaling>
        <c:delete val="1"/>
        <c:axPos val="l"/>
        <c:numFmt formatCode="General" sourceLinked="0"/>
        <c:majorTickMark val="out"/>
        <c:minorTickMark val="none"/>
        <c:tickLblPos val="nextTo"/>
        <c:crossAx val="41428480"/>
        <c:crosses val="autoZero"/>
        <c:auto val="1"/>
        <c:lblAlgn val="ctr"/>
        <c:lblOffset val="100"/>
        <c:noMultiLvlLbl val="0"/>
      </c:catAx>
      <c:valAx>
        <c:axId val="41428480"/>
        <c:scaling>
          <c:orientation val="minMax"/>
          <c:max val="0.5"/>
          <c:min val="-0.4"/>
        </c:scaling>
        <c:delete val="0"/>
        <c:axPos val="b"/>
        <c:majorGridlines>
          <c:spPr>
            <a:ln w="3175">
              <a:prstDash val="dash"/>
            </a:ln>
          </c:spPr>
        </c:majorGridlines>
        <c:numFmt formatCode="0%" sourceLinked="0"/>
        <c:majorTickMark val="out"/>
        <c:minorTickMark val="none"/>
        <c:tickLblPos val="nextTo"/>
        <c:spPr>
          <a:ln w="3175"/>
        </c:spPr>
        <c:crossAx val="41426944"/>
        <c:crosses val="max"/>
        <c:crossBetween val="between"/>
        <c:majorUnit val="0.2"/>
        <c:minorUnit val="2.0000000000000004E-2"/>
      </c:valAx>
      <c:spPr>
        <a:noFill/>
        <a:ln>
          <a:solidFill>
            <a:schemeClr val="bg1">
              <a:lumMod val="85000"/>
            </a:schemeClr>
          </a:solidFill>
        </a:ln>
      </c:spPr>
    </c:plotArea>
    <c:plotVisOnly val="1"/>
    <c:dispBlanksAs val="gap"/>
    <c:showDLblsOverMax val="0"/>
  </c:chart>
  <c:spPr>
    <a:noFill/>
    <a:ln>
      <a:noFill/>
    </a:ln>
  </c:spPr>
  <c:txPr>
    <a:bodyPr/>
    <a:lstStyle/>
    <a:p>
      <a:pPr>
        <a:defRPr sz="800">
          <a:latin typeface="Arial" pitchFamily="34" charset="0"/>
          <a:cs typeface="Arial" pitchFamily="34" charset="0"/>
        </a:defRPr>
      </a:pPr>
      <a:endParaRPr lang="nl-N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nl-NL" sz="800"/>
              <a:t>Inkoopgerelateerde </a:t>
            </a:r>
            <a:br>
              <a:rPr lang="nl-NL" sz="800"/>
            </a:br>
            <a:r>
              <a:rPr lang="nl-NL" sz="800"/>
              <a:t>exploitatiekosten</a:t>
            </a:r>
            <a:br>
              <a:rPr lang="nl-NL" sz="800"/>
            </a:br>
            <a:r>
              <a:rPr lang="nl-NL" sz="800" b="0"/>
              <a:t>Totaal: </a:t>
            </a:r>
            <a:r>
              <a:rPr lang="nl-NL" sz="800" b="0">
                <a:latin typeface="Arial"/>
                <a:cs typeface="Arial"/>
              </a:rPr>
              <a:t>€ </a:t>
            </a:r>
            <a:r>
              <a:rPr lang="nl-NL" sz="800" b="0">
                <a:latin typeface="Arial" pitchFamily="34" charset="0"/>
                <a:cs typeface="Arial" pitchFamily="34" charset="0"/>
              </a:rPr>
              <a:t>2,6</a:t>
            </a:r>
            <a:r>
              <a:rPr lang="nl-NL" sz="800" b="0"/>
              <a:t> mld.</a:t>
            </a:r>
          </a:p>
        </c:rich>
      </c:tx>
      <c:layout>
        <c:manualLayout>
          <c:xMode val="edge"/>
          <c:yMode val="edge"/>
          <c:x val="0.46012711115502486"/>
          <c:y val="0"/>
        </c:manualLayout>
      </c:layout>
      <c:overlay val="0"/>
    </c:title>
    <c:autoTitleDeleted val="0"/>
    <c:plotArea>
      <c:layout>
        <c:manualLayout>
          <c:layoutTarget val="inner"/>
          <c:xMode val="edge"/>
          <c:yMode val="edge"/>
          <c:x val="0.49454830715992909"/>
          <c:y val="0.12596913969473206"/>
          <c:w val="0.34390592237422835"/>
          <c:h val="0.77557561797989916"/>
        </c:manualLayout>
      </c:layout>
      <c:barChart>
        <c:barDir val="bar"/>
        <c:grouping val="clustered"/>
        <c:varyColors val="0"/>
        <c:ser>
          <c:idx val="0"/>
          <c:order val="0"/>
          <c:tx>
            <c:strRef>
              <c:f>Blad1!$B$1</c:f>
              <c:strCache>
                <c:ptCount val="1"/>
                <c:pt idx="0">
                  <c:v>Kolom2</c:v>
                </c:pt>
              </c:strCache>
            </c:strRef>
          </c:tx>
          <c:spPr>
            <a:solidFill>
              <a:srgbClr val="0083FF"/>
            </a:solidFill>
          </c:spPr>
          <c:invertIfNegative val="0"/>
          <c:dLbls>
            <c:dLbl>
              <c:idx val="0"/>
              <c:layout>
                <c:manualLayout>
                  <c:x val="-1.33817487223399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B2C-419A-9413-EAC7842A2442}"/>
                </c:ext>
              </c:extLst>
            </c:dLbl>
            <c:numFmt formatCode="_(&quot;€&quot;* #,##0_);_(&quot;€&quot;* \(#,##0\);_(&quot;€&quot;* &quot;-&quot;_);_(@_)"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Blad1!$A$2:$A$12</c:f>
              <c:strCache>
                <c:ptCount val="9"/>
                <c:pt idx="0">
                  <c:v>Voedingsmiddelen en hotelmatige kosten</c:v>
                </c:pt>
                <c:pt idx="1">
                  <c:v>Algemene kosten</c:v>
                </c:pt>
                <c:pt idx="2">
                  <c:v>Patiënt- en bewonersgebonden kosten</c:v>
                </c:pt>
                <c:pt idx="3">
                  <c:v>Onderhouds- en energiekosten</c:v>
                </c:pt>
                <c:pt idx="4">
                  <c:v>Huur en leasing</c:v>
                </c:pt>
                <c:pt idx="5">
                  <c:v>Personeel niet in loondienst</c:v>
                </c:pt>
                <c:pt idx="6">
                  <c:v>Overige personeelskosten</c:v>
                </c:pt>
                <c:pt idx="7">
                  <c:v>Overige kosten uitbesteed werk en andere externe kosten</c:v>
                </c:pt>
                <c:pt idx="8">
                  <c:v>Kosten van grond- en hulpstoffen</c:v>
                </c:pt>
              </c:strCache>
              <c:extLst/>
            </c:strRef>
          </c:cat>
          <c:val>
            <c:numRef>
              <c:f>Blad1!$B$2:$B$9</c:f>
              <c:numCache>
                <c:formatCode>\€\ #,##0;\€\ \-#,##0</c:formatCode>
                <c:ptCount val="8"/>
                <c:pt idx="0">
                  <c:v>234383914</c:v>
                </c:pt>
                <c:pt idx="1">
                  <c:v>595714476</c:v>
                </c:pt>
                <c:pt idx="2">
                  <c:v>139896465</c:v>
                </c:pt>
                <c:pt idx="3">
                  <c:v>200692963</c:v>
                </c:pt>
                <c:pt idx="4">
                  <c:v>270062251</c:v>
                </c:pt>
                <c:pt idx="5">
                  <c:v>548712926</c:v>
                </c:pt>
                <c:pt idx="6">
                  <c:v>273784659</c:v>
                </c:pt>
                <c:pt idx="7">
                  <c:v>339076624</c:v>
                </c:pt>
              </c:numCache>
              <c:extLst/>
            </c:numRef>
          </c:val>
          <c:extLst>
            <c:ext xmlns:c16="http://schemas.microsoft.com/office/drawing/2014/chart" uri="{C3380CC4-5D6E-409C-BE32-E72D297353CC}">
              <c16:uniqueId val="{00000001-BB2C-419A-9413-EAC7842A2442}"/>
            </c:ext>
          </c:extLst>
        </c:ser>
        <c:dLbls>
          <c:showLegendKey val="0"/>
          <c:showVal val="0"/>
          <c:showCatName val="0"/>
          <c:showSerName val="0"/>
          <c:showPercent val="0"/>
          <c:showBubbleSize val="0"/>
        </c:dLbls>
        <c:gapWidth val="150"/>
        <c:axId val="41453056"/>
        <c:axId val="41454592"/>
      </c:barChart>
      <c:catAx>
        <c:axId val="41453056"/>
        <c:scaling>
          <c:orientation val="maxMin"/>
        </c:scaling>
        <c:delete val="0"/>
        <c:axPos val="l"/>
        <c:numFmt formatCode="General" sourceLinked="0"/>
        <c:majorTickMark val="out"/>
        <c:minorTickMark val="none"/>
        <c:tickLblPos val="low"/>
        <c:crossAx val="41454592"/>
        <c:crosses val="autoZero"/>
        <c:auto val="1"/>
        <c:lblAlgn val="ctr"/>
        <c:lblOffset val="100"/>
        <c:noMultiLvlLbl val="0"/>
      </c:catAx>
      <c:valAx>
        <c:axId val="41454592"/>
        <c:scaling>
          <c:orientation val="minMax"/>
          <c:max val="1500000000"/>
          <c:min val="-0.8"/>
        </c:scaling>
        <c:delete val="0"/>
        <c:axPos val="b"/>
        <c:majorGridlines>
          <c:spPr>
            <a:ln w="3175">
              <a:prstDash val="dash"/>
            </a:ln>
          </c:spPr>
        </c:majorGridlines>
        <c:numFmt formatCode="&quot;€&quot;\ #,##0" sourceLinked="0"/>
        <c:majorTickMark val="out"/>
        <c:minorTickMark val="none"/>
        <c:tickLblPos val="nextTo"/>
        <c:spPr>
          <a:ln w="3175"/>
        </c:spPr>
        <c:crossAx val="41453056"/>
        <c:crosses val="max"/>
        <c:crossBetween val="between"/>
        <c:majorUnit val="500000000"/>
        <c:dispUnits>
          <c:builtInUnit val="millions"/>
          <c:dispUnitsLbl/>
        </c:dispUnits>
      </c:valAx>
      <c:spPr>
        <a:noFill/>
        <a:ln>
          <a:solidFill>
            <a:schemeClr val="bg1">
              <a:lumMod val="85000"/>
            </a:schemeClr>
          </a:solidFill>
        </a:ln>
      </c:spPr>
    </c:plotArea>
    <c:plotVisOnly val="1"/>
    <c:dispBlanksAs val="gap"/>
    <c:showDLblsOverMax val="0"/>
  </c:chart>
  <c:spPr>
    <a:noFill/>
    <a:ln>
      <a:noFill/>
    </a:ln>
  </c:spPr>
  <c:txPr>
    <a:bodyPr/>
    <a:lstStyle/>
    <a:p>
      <a:pPr>
        <a:defRPr sz="800">
          <a:latin typeface="Arial" pitchFamily="34" charset="0"/>
          <a:cs typeface="Arial" pitchFamily="34" charset="0"/>
        </a:defRPr>
      </a:pPr>
      <a:endParaRPr lang="nl-N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9438127294049552"/>
          <c:y val="9.7590353507066852E-2"/>
          <c:w val="0.23615222093414232"/>
          <c:h val="0.60841187954953901"/>
        </c:manualLayout>
      </c:layout>
      <c:pieChart>
        <c:varyColors val="1"/>
        <c:ser>
          <c:idx val="0"/>
          <c:order val="0"/>
          <c:tx>
            <c:strRef>
              <c:f>Blad1!$B$1</c:f>
              <c:strCache>
                <c:ptCount val="1"/>
                <c:pt idx="0">
                  <c:v>Kolom2</c:v>
                </c:pt>
              </c:strCache>
            </c:strRef>
          </c:tx>
          <c:dPt>
            <c:idx val="0"/>
            <c:bubble3D val="0"/>
            <c:explosion val="20"/>
            <c:spPr>
              <a:solidFill>
                <a:schemeClr val="accent2"/>
              </a:solidFill>
            </c:spPr>
            <c:extLst>
              <c:ext xmlns:c16="http://schemas.microsoft.com/office/drawing/2014/chart" uri="{C3380CC4-5D6E-409C-BE32-E72D297353CC}">
                <c16:uniqueId val="{00000001-DC89-4A18-87DD-4E191A74A8E8}"/>
              </c:ext>
            </c:extLst>
          </c:dPt>
          <c:dPt>
            <c:idx val="1"/>
            <c:bubble3D val="0"/>
            <c:explosion val="7"/>
            <c:spPr>
              <a:solidFill>
                <a:schemeClr val="accent3"/>
              </a:solidFill>
            </c:spPr>
            <c:extLst>
              <c:ext xmlns:c16="http://schemas.microsoft.com/office/drawing/2014/chart" uri="{C3380CC4-5D6E-409C-BE32-E72D297353CC}">
                <c16:uniqueId val="{00000003-DC89-4A18-87DD-4E191A74A8E8}"/>
              </c:ext>
            </c:extLst>
          </c:dPt>
          <c:dPt>
            <c:idx val="2"/>
            <c:bubble3D val="0"/>
            <c:explosion val="4"/>
            <c:spPr>
              <a:solidFill>
                <a:schemeClr val="accent5"/>
              </a:solidFill>
            </c:spPr>
            <c:extLst>
              <c:ext xmlns:c16="http://schemas.microsoft.com/office/drawing/2014/chart" uri="{C3380CC4-5D6E-409C-BE32-E72D297353CC}">
                <c16:uniqueId val="{00000005-DC89-4A18-87DD-4E191A74A8E8}"/>
              </c:ext>
            </c:extLst>
          </c:dPt>
          <c:dPt>
            <c:idx val="3"/>
            <c:bubble3D val="0"/>
            <c:spPr>
              <a:solidFill>
                <a:schemeClr val="accent1"/>
              </a:solidFill>
            </c:spPr>
            <c:extLst>
              <c:ext xmlns:c16="http://schemas.microsoft.com/office/drawing/2014/chart" uri="{C3380CC4-5D6E-409C-BE32-E72D297353CC}">
                <c16:uniqueId val="{00000007-DC89-4A18-87DD-4E191A74A8E8}"/>
              </c:ext>
            </c:extLst>
          </c:dPt>
          <c:dPt>
            <c:idx val="4"/>
            <c:bubble3D val="0"/>
            <c:spPr>
              <a:solidFill>
                <a:srgbClr val="87AC00"/>
              </a:solidFill>
            </c:spPr>
            <c:extLst>
              <c:ext xmlns:c16="http://schemas.microsoft.com/office/drawing/2014/chart" uri="{C3380CC4-5D6E-409C-BE32-E72D297353CC}">
                <c16:uniqueId val="{00000009-DC89-4A18-87DD-4E191A74A8E8}"/>
              </c:ext>
            </c:extLst>
          </c:dPt>
          <c:dLbls>
            <c:dLbl>
              <c:idx val="0"/>
              <c:numFmt formatCode="0%" sourceLinked="0"/>
              <c:spPr>
                <a:noFill/>
                <a:ln>
                  <a:noFill/>
                </a:ln>
                <a:effectLst/>
              </c:spPr>
              <c:txPr>
                <a:bodyPr wrap="square" lIns="38100" tIns="19050" rIns="38100" bIns="19050" anchor="ctr">
                  <a:spAutoFit/>
                </a:bodyPr>
                <a:lstStyle/>
                <a:p>
                  <a:pPr>
                    <a:defRPr sz="800">
                      <a:solidFill>
                        <a:schemeClr val="bg1"/>
                      </a:solidFill>
                    </a:defRPr>
                  </a:pPr>
                  <a:endParaRPr lang="nl-NL"/>
                </a:p>
              </c:txPr>
              <c:showLegendKey val="0"/>
              <c:showVal val="0"/>
              <c:showCatName val="0"/>
              <c:showSerName val="0"/>
              <c:showPercent val="1"/>
              <c:showBubbleSize val="0"/>
              <c:extLst>
                <c:ext xmlns:c16="http://schemas.microsoft.com/office/drawing/2014/chart" uri="{C3380CC4-5D6E-409C-BE32-E72D297353CC}">
                  <c16:uniqueId val="{00000001-DC89-4A18-87DD-4E191A74A8E8}"/>
                </c:ext>
              </c:extLst>
            </c:dLbl>
            <c:dLbl>
              <c:idx val="1"/>
              <c:layout>
                <c:manualLayout>
                  <c:x val="6.2764186025503987E-2"/>
                  <c:y val="3.6483208829665492E-2"/>
                </c:manualLayout>
              </c:layout>
              <c:numFmt formatCode="0%" sourceLinked="0"/>
              <c:spPr>
                <a:noFill/>
                <a:ln>
                  <a:noFill/>
                </a:ln>
                <a:effectLst/>
              </c:spPr>
              <c:txPr>
                <a:bodyPr wrap="square" lIns="38100" tIns="19050" rIns="38100" bIns="19050" anchor="ctr">
                  <a:spAutoFit/>
                </a:bodyPr>
                <a:lstStyle/>
                <a:p>
                  <a:pPr>
                    <a:defRPr sz="800">
                      <a:solidFill>
                        <a:schemeClr val="bg1"/>
                      </a:solidFill>
                    </a:defRPr>
                  </a:pPr>
                  <a:endParaRPr lang="nl-NL"/>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C89-4A18-87DD-4E191A74A8E8}"/>
                </c:ext>
              </c:extLst>
            </c:dLbl>
            <c:numFmt formatCode="0%" sourceLinked="0"/>
            <c:spPr>
              <a:noFill/>
              <a:ln>
                <a:noFill/>
              </a:ln>
              <a:effectLst/>
            </c:spPr>
            <c:txPr>
              <a:bodyPr wrap="square" lIns="38100" tIns="19050" rIns="38100" bIns="19050" anchor="ctr">
                <a:spAutoFit/>
              </a:bodyPr>
              <a:lstStyle/>
              <a:p>
                <a:pPr>
                  <a:defRPr sz="800"/>
                </a:pPr>
                <a:endParaRPr lang="nl-NL"/>
              </a:p>
            </c:txPr>
            <c:showLegendKey val="0"/>
            <c:showVal val="0"/>
            <c:showCatName val="0"/>
            <c:showSerName val="0"/>
            <c:showPercent val="1"/>
            <c:showBubbleSize val="0"/>
            <c:showLeaderLines val="1"/>
            <c:extLst>
              <c:ext xmlns:c15="http://schemas.microsoft.com/office/drawing/2012/chart" uri="{CE6537A1-D6FC-4f65-9D91-7224C49458BB}"/>
            </c:extLst>
          </c:dLbls>
          <c:cat>
            <c:strRef>
              <c:f>Blad1!$A$2:$A$6</c:f>
              <c:strCache>
                <c:ptCount val="5"/>
                <c:pt idx="0">
                  <c:v>Lonen en salarissen</c:v>
                </c:pt>
                <c:pt idx="1">
                  <c:v>Sociale lasten</c:v>
                </c:pt>
                <c:pt idx="2">
                  <c:v>Pensioenlasten</c:v>
                </c:pt>
                <c:pt idx="3">
                  <c:v>Personeel niet in loondienst</c:v>
                </c:pt>
                <c:pt idx="4">
                  <c:v>Andere personeelskosten</c:v>
                </c:pt>
              </c:strCache>
            </c:strRef>
          </c:cat>
          <c:val>
            <c:numRef>
              <c:f>Blad1!$B$2:$B$6</c:f>
              <c:numCache>
                <c:formatCode>\€\ #,##0;\€\ \-#,##0</c:formatCode>
                <c:ptCount val="5"/>
                <c:pt idx="0">
                  <c:v>4448184297</c:v>
                </c:pt>
                <c:pt idx="1">
                  <c:v>701609114</c:v>
                </c:pt>
                <c:pt idx="2">
                  <c:v>419337379</c:v>
                </c:pt>
                <c:pt idx="3">
                  <c:v>548712926</c:v>
                </c:pt>
                <c:pt idx="4">
                  <c:v>273784659</c:v>
                </c:pt>
              </c:numCache>
            </c:numRef>
          </c:val>
          <c:extLst>
            <c:ext xmlns:c16="http://schemas.microsoft.com/office/drawing/2014/chart" uri="{C3380CC4-5D6E-409C-BE32-E72D297353CC}">
              <c16:uniqueId val="{0000000A-DC89-4A18-87DD-4E191A74A8E8}"/>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16086751245069222"/>
          <c:y val="0.56956518366238706"/>
          <c:w val="0.28640399873533973"/>
          <c:h val="0.43043481633761305"/>
        </c:manualLayout>
      </c:layout>
      <c:overlay val="0"/>
      <c:txPr>
        <a:bodyPr/>
        <a:lstStyle/>
        <a:p>
          <a:pPr>
            <a:defRPr sz="800">
              <a:latin typeface="Arial" pitchFamily="34" charset="0"/>
              <a:cs typeface="Arial" pitchFamily="34" charset="0"/>
            </a:defRPr>
          </a:pPr>
          <a:endParaRPr lang="nl-NL"/>
        </a:p>
      </c:txPr>
    </c:legend>
    <c:plotVisOnly val="1"/>
    <c:dispBlanksAs val="zero"/>
    <c:showDLblsOverMax val="0"/>
  </c:chart>
  <c:spPr>
    <a:noFill/>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en-US" sz="800"/>
              <a:t>Ontwikkeling</a:t>
            </a:r>
            <a:r>
              <a:rPr lang="en-US" sz="800" baseline="0"/>
              <a:t> </a:t>
            </a:r>
            <a:r>
              <a:rPr lang="en-US" sz="800" b="1" i="0" u="none" strike="noStrike" kern="1200" baseline="0">
                <a:solidFill>
                  <a:srgbClr val="000000"/>
                </a:solidFill>
                <a:latin typeface="Arial" pitchFamily="34" charset="0"/>
                <a:ea typeface="+mn-ea"/>
                <a:cs typeface="Arial" pitchFamily="34" charset="0"/>
              </a:rPr>
              <a:t>2021</a:t>
            </a:r>
            <a:r>
              <a:rPr lang="en-US" sz="800" baseline="0"/>
              <a:t>-</a:t>
            </a:r>
            <a:r>
              <a:rPr lang="en-US" sz="800" b="1" i="0" u="none" strike="noStrike" kern="1200" baseline="0">
                <a:solidFill>
                  <a:srgbClr val="000000"/>
                </a:solidFill>
                <a:latin typeface="Arial" pitchFamily="34" charset="0"/>
                <a:ea typeface="+mn-ea"/>
                <a:cs typeface="Arial" pitchFamily="34" charset="0"/>
              </a:rPr>
              <a:t>2022</a:t>
            </a:r>
            <a:br>
              <a:rPr lang="en-US" sz="800" baseline="0"/>
            </a:br>
            <a:r>
              <a:rPr lang="en-US" sz="800" b="0" baseline="0"/>
              <a:t>Totaal: +5,5%</a:t>
            </a:r>
            <a:endParaRPr lang="en-US" sz="800" b="0"/>
          </a:p>
        </c:rich>
      </c:tx>
      <c:layout>
        <c:manualLayout>
          <c:xMode val="edge"/>
          <c:yMode val="edge"/>
          <c:x val="0.20572631309255526"/>
          <c:y val="0"/>
        </c:manualLayout>
      </c:layout>
      <c:overlay val="0"/>
    </c:title>
    <c:autoTitleDeleted val="0"/>
    <c:plotArea>
      <c:layout>
        <c:manualLayout>
          <c:layoutTarget val="inner"/>
          <c:xMode val="edge"/>
          <c:yMode val="edge"/>
          <c:x val="0.12286383872458788"/>
          <c:y val="0.18872361333980173"/>
          <c:w val="0.73248245642934795"/>
          <c:h val="0.71483623788732553"/>
        </c:manualLayout>
      </c:layout>
      <c:barChart>
        <c:barDir val="bar"/>
        <c:grouping val="clustered"/>
        <c:varyColors val="0"/>
        <c:ser>
          <c:idx val="0"/>
          <c:order val="0"/>
          <c:tx>
            <c:strRef>
              <c:f>Blad1!$B$1</c:f>
              <c:strCache>
                <c:ptCount val="1"/>
                <c:pt idx="0">
                  <c:v>Kolom2</c:v>
                </c:pt>
              </c:strCache>
            </c:strRef>
          </c:tx>
          <c:spPr>
            <a:solidFill>
              <a:srgbClr val="0083FF"/>
            </a:solidFill>
          </c:spPr>
          <c:invertIfNegative val="0"/>
          <c:dLbls>
            <c:dLbl>
              <c:idx val="3"/>
              <c:layout>
                <c:manualLayout>
                  <c:x val="-1.33817487223399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D3B-466C-BA35-306447CF9B9F}"/>
                </c:ext>
              </c:extLst>
            </c:dLbl>
            <c:numFmt formatCode="\+0.0%;\-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Blad1!$A$2:$A$6</c:f>
              <c:strCache>
                <c:ptCount val="5"/>
                <c:pt idx="0">
                  <c:v>Lonen en salarissen</c:v>
                </c:pt>
                <c:pt idx="1">
                  <c:v>Sociale lasten</c:v>
                </c:pt>
                <c:pt idx="2">
                  <c:v>Pensioenpremies</c:v>
                </c:pt>
                <c:pt idx="3">
                  <c:v>Personeel niet in loondienst</c:v>
                </c:pt>
                <c:pt idx="4">
                  <c:v>Overige personeelskosten</c:v>
                </c:pt>
              </c:strCache>
            </c:strRef>
          </c:cat>
          <c:val>
            <c:numRef>
              <c:f>Blad1!$B$2:$B$6</c:f>
              <c:numCache>
                <c:formatCode>0.0%</c:formatCode>
                <c:ptCount val="5"/>
                <c:pt idx="0">
                  <c:v>3.3000000000000002E-2</c:v>
                </c:pt>
                <c:pt idx="1">
                  <c:v>7.8E-2</c:v>
                </c:pt>
                <c:pt idx="2">
                  <c:v>8.3000000000000004E-2</c:v>
                </c:pt>
                <c:pt idx="3">
                  <c:v>0.20100000000000001</c:v>
                </c:pt>
                <c:pt idx="4">
                  <c:v>6.2E-2</c:v>
                </c:pt>
              </c:numCache>
            </c:numRef>
          </c:val>
          <c:extLst>
            <c:ext xmlns:c16="http://schemas.microsoft.com/office/drawing/2014/chart" uri="{C3380CC4-5D6E-409C-BE32-E72D297353CC}">
              <c16:uniqueId val="{00000001-AD3B-466C-BA35-306447CF9B9F}"/>
            </c:ext>
          </c:extLst>
        </c:ser>
        <c:dLbls>
          <c:showLegendKey val="0"/>
          <c:showVal val="0"/>
          <c:showCatName val="0"/>
          <c:showSerName val="0"/>
          <c:showPercent val="0"/>
          <c:showBubbleSize val="0"/>
        </c:dLbls>
        <c:gapWidth val="150"/>
        <c:axId val="41623936"/>
        <c:axId val="41625472"/>
      </c:barChart>
      <c:catAx>
        <c:axId val="41623936"/>
        <c:scaling>
          <c:orientation val="maxMin"/>
        </c:scaling>
        <c:delete val="1"/>
        <c:axPos val="l"/>
        <c:numFmt formatCode="General" sourceLinked="0"/>
        <c:majorTickMark val="out"/>
        <c:minorTickMark val="none"/>
        <c:tickLblPos val="nextTo"/>
        <c:crossAx val="41625472"/>
        <c:crosses val="autoZero"/>
        <c:auto val="1"/>
        <c:lblAlgn val="ctr"/>
        <c:lblOffset val="100"/>
        <c:noMultiLvlLbl val="0"/>
      </c:catAx>
      <c:valAx>
        <c:axId val="41625472"/>
        <c:scaling>
          <c:orientation val="minMax"/>
          <c:max val="0.30000000000000004"/>
          <c:min val="-0.2"/>
        </c:scaling>
        <c:delete val="0"/>
        <c:axPos val="b"/>
        <c:majorGridlines>
          <c:spPr>
            <a:ln w="3175">
              <a:prstDash val="dash"/>
            </a:ln>
          </c:spPr>
        </c:majorGridlines>
        <c:numFmt formatCode="0%" sourceLinked="0"/>
        <c:majorTickMark val="out"/>
        <c:minorTickMark val="none"/>
        <c:tickLblPos val="nextTo"/>
        <c:spPr>
          <a:ln w="3175"/>
        </c:spPr>
        <c:crossAx val="41623936"/>
        <c:crosses val="max"/>
        <c:crossBetween val="between"/>
        <c:majorUnit val="0.1"/>
      </c:valAx>
      <c:spPr>
        <a:noFill/>
        <a:ln>
          <a:solidFill>
            <a:schemeClr val="bg1">
              <a:lumMod val="85000"/>
            </a:schemeClr>
          </a:solidFill>
        </a:ln>
      </c:spPr>
    </c:plotArea>
    <c:plotVisOnly val="1"/>
    <c:dispBlanksAs val="gap"/>
    <c:showDLblsOverMax val="0"/>
  </c:chart>
  <c:spPr>
    <a:noFill/>
    <a:ln>
      <a:noFill/>
    </a:ln>
  </c:spPr>
  <c:txPr>
    <a:bodyPr/>
    <a:lstStyle/>
    <a:p>
      <a:pPr>
        <a:defRPr sz="800">
          <a:latin typeface="Arial" pitchFamily="34" charset="0"/>
          <a:cs typeface="Arial" pitchFamily="34" charset="0"/>
        </a:defRPr>
      </a:pPr>
      <a:endParaRPr lang="nl-N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nl-NL" sz="800"/>
              <a:t>Personeelskosten</a:t>
            </a:r>
            <a:br>
              <a:rPr lang="nl-NL" sz="800"/>
            </a:br>
            <a:r>
              <a:rPr lang="nl-NL" sz="800" b="0"/>
              <a:t>Totaal: </a:t>
            </a:r>
            <a:r>
              <a:rPr lang="nl-NL" sz="800" b="0">
                <a:latin typeface="Arial"/>
                <a:cs typeface="Arial"/>
              </a:rPr>
              <a:t>€ 6,4</a:t>
            </a:r>
            <a:r>
              <a:rPr lang="nl-NL" sz="800" b="0">
                <a:latin typeface="Arial" pitchFamily="34" charset="0"/>
                <a:cs typeface="Arial" pitchFamily="34" charset="0"/>
              </a:rPr>
              <a:t> </a:t>
            </a:r>
            <a:r>
              <a:rPr lang="nl-NL" sz="800" b="0"/>
              <a:t>mld.</a:t>
            </a:r>
          </a:p>
        </c:rich>
      </c:tx>
      <c:layout>
        <c:manualLayout>
          <c:xMode val="edge"/>
          <c:yMode val="edge"/>
          <c:x val="0.46012711115502486"/>
          <c:y val="0"/>
        </c:manualLayout>
      </c:layout>
      <c:overlay val="0"/>
    </c:title>
    <c:autoTitleDeleted val="0"/>
    <c:plotArea>
      <c:layout>
        <c:manualLayout>
          <c:layoutTarget val="inner"/>
          <c:xMode val="edge"/>
          <c:yMode val="edge"/>
          <c:x val="0.42869244329533435"/>
          <c:y val="0.17426065378191363"/>
          <c:w val="0.42344686018725269"/>
          <c:h val="0.64892433900307911"/>
        </c:manualLayout>
      </c:layout>
      <c:barChart>
        <c:barDir val="bar"/>
        <c:grouping val="clustered"/>
        <c:varyColors val="0"/>
        <c:ser>
          <c:idx val="0"/>
          <c:order val="0"/>
          <c:tx>
            <c:strRef>
              <c:f>Blad1!$B$1</c:f>
              <c:strCache>
                <c:ptCount val="1"/>
                <c:pt idx="0">
                  <c:v>Kolom2</c:v>
                </c:pt>
              </c:strCache>
            </c:strRef>
          </c:tx>
          <c:spPr>
            <a:solidFill>
              <a:srgbClr val="0083FF"/>
            </a:solidFill>
          </c:spPr>
          <c:invertIfNegative val="0"/>
          <c:dLbls>
            <c:dLbl>
              <c:idx val="3"/>
              <c:layout>
                <c:manualLayout>
                  <c:x val="-1.33817487223399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172-4040-B74E-535A5A391395}"/>
                </c:ext>
              </c:extLst>
            </c:dLbl>
            <c:numFmt formatCode="&quot;€&quot;\ #,##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Blad1!$A$2:$A$8</c:f>
              <c:strCache>
                <c:ptCount val="5"/>
                <c:pt idx="0">
                  <c:v>Lonen en salarissen</c:v>
                </c:pt>
                <c:pt idx="1">
                  <c:v>Sociale lasten</c:v>
                </c:pt>
                <c:pt idx="2">
                  <c:v>Pensioenlasten</c:v>
                </c:pt>
                <c:pt idx="3">
                  <c:v>Personeel niet in loondienst</c:v>
                </c:pt>
                <c:pt idx="4">
                  <c:v>Andere personeelskosten</c:v>
                </c:pt>
              </c:strCache>
            </c:strRef>
          </c:cat>
          <c:val>
            <c:numRef>
              <c:f>Blad1!$B$2:$B$6</c:f>
              <c:numCache>
                <c:formatCode>\€\ #,##0;\€\ \-#,##0</c:formatCode>
                <c:ptCount val="5"/>
                <c:pt idx="0">
                  <c:v>4448184297</c:v>
                </c:pt>
                <c:pt idx="1">
                  <c:v>701609114</c:v>
                </c:pt>
                <c:pt idx="2">
                  <c:v>419337379</c:v>
                </c:pt>
                <c:pt idx="3">
                  <c:v>548712926</c:v>
                </c:pt>
                <c:pt idx="4">
                  <c:v>273784659</c:v>
                </c:pt>
              </c:numCache>
            </c:numRef>
          </c:val>
          <c:extLst>
            <c:ext xmlns:c16="http://schemas.microsoft.com/office/drawing/2014/chart" uri="{C3380CC4-5D6E-409C-BE32-E72D297353CC}">
              <c16:uniqueId val="{00000001-C172-4040-B74E-535A5A391395}"/>
            </c:ext>
          </c:extLst>
        </c:ser>
        <c:dLbls>
          <c:showLegendKey val="0"/>
          <c:showVal val="0"/>
          <c:showCatName val="0"/>
          <c:showSerName val="0"/>
          <c:showPercent val="0"/>
          <c:showBubbleSize val="0"/>
        </c:dLbls>
        <c:gapWidth val="150"/>
        <c:axId val="42026880"/>
        <c:axId val="42028416"/>
      </c:barChart>
      <c:catAx>
        <c:axId val="42026880"/>
        <c:scaling>
          <c:orientation val="maxMin"/>
        </c:scaling>
        <c:delete val="0"/>
        <c:axPos val="l"/>
        <c:numFmt formatCode="General" sourceLinked="0"/>
        <c:majorTickMark val="out"/>
        <c:minorTickMark val="none"/>
        <c:tickLblPos val="low"/>
        <c:crossAx val="42028416"/>
        <c:crosses val="autoZero"/>
        <c:auto val="1"/>
        <c:lblAlgn val="ctr"/>
        <c:lblOffset val="100"/>
        <c:noMultiLvlLbl val="0"/>
      </c:catAx>
      <c:valAx>
        <c:axId val="42028416"/>
        <c:scaling>
          <c:orientation val="minMax"/>
          <c:max val="5000000000"/>
          <c:min val="-0.8"/>
        </c:scaling>
        <c:delete val="0"/>
        <c:axPos val="b"/>
        <c:majorGridlines>
          <c:spPr>
            <a:ln w="3175">
              <a:prstDash val="dash"/>
            </a:ln>
          </c:spPr>
        </c:majorGridlines>
        <c:numFmt formatCode="&quot;€&quot;\ #,##0" sourceLinked="0"/>
        <c:majorTickMark val="out"/>
        <c:minorTickMark val="none"/>
        <c:tickLblPos val="nextTo"/>
        <c:spPr>
          <a:ln w="3175"/>
        </c:spPr>
        <c:crossAx val="42026880"/>
        <c:crosses val="max"/>
        <c:crossBetween val="between"/>
        <c:majorUnit val="1000000000"/>
        <c:dispUnits>
          <c:builtInUnit val="billions"/>
          <c:dispUnitsLbl/>
        </c:dispUnits>
      </c:valAx>
      <c:spPr>
        <a:noFill/>
        <a:ln>
          <a:solidFill>
            <a:schemeClr val="bg1">
              <a:lumMod val="85000"/>
            </a:schemeClr>
          </a:solidFill>
        </a:ln>
      </c:spPr>
    </c:plotArea>
    <c:plotVisOnly val="1"/>
    <c:dispBlanksAs val="gap"/>
    <c:showDLblsOverMax val="0"/>
  </c:chart>
  <c:spPr>
    <a:noFill/>
    <a:ln>
      <a:noFill/>
    </a:ln>
  </c:spPr>
  <c:txPr>
    <a:bodyPr/>
    <a:lstStyle/>
    <a:p>
      <a:pPr>
        <a:defRPr sz="800">
          <a:latin typeface="Arial" pitchFamily="34" charset="0"/>
          <a:cs typeface="Arial" pitchFamily="34" charset="0"/>
        </a:defRPr>
      </a:pPr>
      <a:endParaRPr lang="nl-NL"/>
    </a:p>
  </c:txPr>
  <c:externalData r:id="rId1">
    <c:autoUpdate val="0"/>
  </c:externalData>
</c:chartSpace>
</file>

<file path=word/theme/theme1.xml><?xml version="1.0" encoding="utf-8"?>
<a:theme xmlns:a="http://schemas.openxmlformats.org/drawingml/2006/main" name="Office Theme">
  <a:themeElements>
    <a:clrScheme name="Intrakoop_Kleuren">
      <a:dk1>
        <a:srgbClr val="000000"/>
      </a:dk1>
      <a:lt1>
        <a:srgbClr val="FFFFFF"/>
      </a:lt1>
      <a:dk2>
        <a:srgbClr val="3F3F3E"/>
      </a:dk2>
      <a:lt2>
        <a:srgbClr val="F2F2F5"/>
      </a:lt2>
      <a:accent1>
        <a:srgbClr val="0083FF"/>
      </a:accent1>
      <a:accent2>
        <a:srgbClr val="8D2CFF"/>
      </a:accent2>
      <a:accent3>
        <a:srgbClr val="FF9200"/>
      </a:accent3>
      <a:accent4>
        <a:srgbClr val="00ACA4"/>
      </a:accent4>
      <a:accent5>
        <a:srgbClr val="FF5079"/>
      </a:accent5>
      <a:accent6>
        <a:srgbClr val="87AC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Intrakoop_Kleuren">
    <a:dk1>
      <a:srgbClr val="000000"/>
    </a:dk1>
    <a:lt1>
      <a:srgbClr val="FFFFFF"/>
    </a:lt1>
    <a:dk2>
      <a:srgbClr val="3F3F3E"/>
    </a:dk2>
    <a:lt2>
      <a:srgbClr val="F2F2F5"/>
    </a:lt2>
    <a:accent1>
      <a:srgbClr val="0083FF"/>
    </a:accent1>
    <a:accent2>
      <a:srgbClr val="8D2CFF"/>
    </a:accent2>
    <a:accent3>
      <a:srgbClr val="FF9200"/>
    </a:accent3>
    <a:accent4>
      <a:srgbClr val="00ACA4"/>
    </a:accent4>
    <a:accent5>
      <a:srgbClr val="FF5079"/>
    </a:accent5>
    <a:accent6>
      <a:srgbClr val="87AC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125d54-e469-48db-b797-de5cb20d4fcd">
      <Terms xmlns="http://schemas.microsoft.com/office/infopath/2007/PartnerControls"/>
    </lcf76f155ced4ddcb4097134ff3c332f>
    <TaxCatchAll xmlns="a0e81be7-0b93-43c2-a65c-3c3880fd18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22F9E5C751324AAF616CFF5A34DC15" ma:contentTypeVersion="17" ma:contentTypeDescription="Een nieuw document maken." ma:contentTypeScope="" ma:versionID="21832ffe103b447fe70a1816a3b23a3a">
  <xsd:schema xmlns:xsd="http://www.w3.org/2001/XMLSchema" xmlns:xs="http://www.w3.org/2001/XMLSchema" xmlns:p="http://schemas.microsoft.com/office/2006/metadata/properties" xmlns:ns2="ea125d54-e469-48db-b797-de5cb20d4fcd" xmlns:ns3="a0e81be7-0b93-43c2-a65c-3c3880fd1880" targetNamespace="http://schemas.microsoft.com/office/2006/metadata/properties" ma:root="true" ma:fieldsID="c46c60d9682eb1b0078b8c6cacf89f91" ns2:_="" ns3:_="">
    <xsd:import namespace="ea125d54-e469-48db-b797-de5cb20d4fcd"/>
    <xsd:import namespace="a0e81be7-0b93-43c2-a65c-3c3880fd18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25d54-e469-48db-b797-de5cb20d4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073f9aa-fd6b-4c46-9abd-16ced7aa10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e81be7-0b93-43c2-a65c-3c3880fd188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86fc17b-bdb8-4247-bbbe-2f9019c66bd5}" ma:internalName="TaxCatchAll" ma:showField="CatchAllData" ma:web="a0e81be7-0b93-43c2-a65c-3c3880fd18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FA72A0C-06E5-4AAE-9473-BD0F0B629AC9}">
  <ds:schemaRefs>
    <ds:schemaRef ds:uri="http://schemas.microsoft.com/sharepoint/v3/contenttype/forms"/>
  </ds:schemaRefs>
</ds:datastoreItem>
</file>

<file path=customXml/itemProps2.xml><?xml version="1.0" encoding="utf-8"?>
<ds:datastoreItem xmlns:ds="http://schemas.openxmlformats.org/officeDocument/2006/customXml" ds:itemID="{14D3B301-3BDA-4BF0-9A23-3F80B4FB1EF7}">
  <ds:schemaRefs>
    <ds:schemaRef ds:uri="http://schemas.microsoft.com/office/2006/metadata/properties"/>
    <ds:schemaRef ds:uri="http://schemas.microsoft.com/office/infopath/2007/PartnerControls"/>
    <ds:schemaRef ds:uri="ea125d54-e469-48db-b797-de5cb20d4fcd"/>
    <ds:schemaRef ds:uri="a0e81be7-0b93-43c2-a65c-3c3880fd1880"/>
  </ds:schemaRefs>
</ds:datastoreItem>
</file>

<file path=customXml/itemProps3.xml><?xml version="1.0" encoding="utf-8"?>
<ds:datastoreItem xmlns:ds="http://schemas.openxmlformats.org/officeDocument/2006/customXml" ds:itemID="{89C81ADB-B583-44DF-910B-04D56887D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25d54-e469-48db-b797-de5cb20d4fcd"/>
    <ds:schemaRef ds:uri="a0e81be7-0b93-43c2-a65c-3c3880fd1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E125BB-77A6-4067-AD33-9D7C338A3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Intrakoop_Rapport_met logo.dotx</Template>
  <TotalTime>29</TotalTime>
  <Pages>15</Pages>
  <Words>3578</Words>
  <Characters>19679</Characters>
  <Application>Microsoft Office Word</Application>
  <DocSecurity>0</DocSecurity>
  <Lines>163</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Intrakoop</Company>
  <LinksUpToDate>false</LinksUpToDate>
  <CharactersWithSpaces>23211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Intrakoop</dc:subject>
  <dc:creator>Mike Lankhorst</dc:creator>
  <cp:keywords/>
  <dc:description/>
  <cp:lastModifiedBy>Mike Lankhorst</cp:lastModifiedBy>
  <cp:revision>21</cp:revision>
  <cp:lastPrinted>2022-08-24T11:45:00Z</cp:lastPrinted>
  <dcterms:created xsi:type="dcterms:W3CDTF">2023-10-23T08:38:00Z</dcterms:created>
  <dcterms:modified xsi:type="dcterms:W3CDTF">2023-10-24T13:25:00Z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0x010100D222F9E5C751324AAF616CFF5A34DC15</vt:lpwstr>
  </property>
</Properties>
</file>